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F2A1" w14:textId="77777777" w:rsidR="009C059C" w:rsidRPr="00214C3A" w:rsidRDefault="00E61F93">
      <w:pPr>
        <w:rPr>
          <w:sz w:val="22"/>
          <w:szCs w:val="22"/>
        </w:rPr>
      </w:pPr>
      <w:r w:rsidRPr="00214C3A">
        <w:rPr>
          <w:sz w:val="22"/>
          <w:szCs w:val="22"/>
        </w:rPr>
        <w:t xml:space="preserve">TAS Tax Tip: Resources for Tax </w:t>
      </w:r>
      <w:r w:rsidR="00345439" w:rsidRPr="00214C3A">
        <w:rPr>
          <w:sz w:val="22"/>
          <w:szCs w:val="22"/>
        </w:rPr>
        <w:t>Pr</w:t>
      </w:r>
      <w:r w:rsidR="00F43A21" w:rsidRPr="00214C3A">
        <w:rPr>
          <w:sz w:val="22"/>
          <w:szCs w:val="22"/>
        </w:rPr>
        <w:t>ofessionals</w:t>
      </w:r>
    </w:p>
    <w:p w14:paraId="326289D7" w14:textId="2815BA8E" w:rsidR="006211D8" w:rsidRPr="00214C3A" w:rsidRDefault="00EE68B1" w:rsidP="006211D8">
      <w:pPr>
        <w:rPr>
          <w:b/>
          <w:bCs/>
          <w:sz w:val="22"/>
          <w:szCs w:val="22"/>
        </w:rPr>
      </w:pPr>
      <w:r w:rsidRPr="00214C3A">
        <w:rPr>
          <w:sz w:val="22"/>
          <w:szCs w:val="22"/>
        </w:rPr>
        <w:t xml:space="preserve">As a tax return preparer, it's important to stay updated with the latest tools, tips, and resources provided by the Taxpayer Advocate Service (TAS). This page provides an overview of the various resources available on TAS and IRS websites to assist tax return preparers in efficiently and accurately preparing tax returns </w:t>
      </w:r>
      <w:r w:rsidR="004E766E" w:rsidRPr="00214C3A">
        <w:rPr>
          <w:sz w:val="22"/>
          <w:szCs w:val="22"/>
        </w:rPr>
        <w:t xml:space="preserve">and resolving issues </w:t>
      </w:r>
      <w:r w:rsidRPr="00214C3A">
        <w:rPr>
          <w:sz w:val="22"/>
          <w:szCs w:val="22"/>
        </w:rPr>
        <w:t>for their clients.</w:t>
      </w:r>
    </w:p>
    <w:p w14:paraId="094ED36E" w14:textId="77777777" w:rsidR="006211D8" w:rsidRPr="00214C3A" w:rsidRDefault="006211D8" w:rsidP="006211D8">
      <w:pPr>
        <w:rPr>
          <w:b/>
          <w:bCs/>
          <w:sz w:val="22"/>
          <w:szCs w:val="22"/>
        </w:rPr>
      </w:pPr>
      <w:r w:rsidRPr="00214C3A">
        <w:rPr>
          <w:b/>
          <w:bCs/>
          <w:sz w:val="22"/>
          <w:szCs w:val="22"/>
        </w:rPr>
        <w:t xml:space="preserve">Tools for Tax </w:t>
      </w:r>
      <w:r w:rsidR="006C6957" w:rsidRPr="00214C3A">
        <w:rPr>
          <w:b/>
          <w:bCs/>
          <w:sz w:val="22"/>
          <w:szCs w:val="22"/>
        </w:rPr>
        <w:t xml:space="preserve">Return </w:t>
      </w:r>
      <w:r w:rsidRPr="00214C3A">
        <w:rPr>
          <w:b/>
          <w:bCs/>
          <w:sz w:val="22"/>
          <w:szCs w:val="22"/>
        </w:rPr>
        <w:t>Preparers</w:t>
      </w:r>
    </w:p>
    <w:p w14:paraId="3011D0AB" w14:textId="77777777" w:rsidR="006211D8" w:rsidRPr="00214C3A" w:rsidRDefault="006211D8" w:rsidP="006211D8">
      <w:pPr>
        <w:rPr>
          <w:sz w:val="22"/>
          <w:szCs w:val="22"/>
        </w:rPr>
      </w:pPr>
      <w:r w:rsidRPr="00214C3A">
        <w:rPr>
          <w:sz w:val="22"/>
          <w:szCs w:val="22"/>
        </w:rPr>
        <w:t xml:space="preserve">Need assistance in figuring out where your client is in the tax return process, </w:t>
      </w:r>
      <w:proofErr w:type="gramStart"/>
      <w:r w:rsidRPr="00214C3A">
        <w:rPr>
          <w:sz w:val="22"/>
          <w:szCs w:val="22"/>
        </w:rPr>
        <w:t>examination</w:t>
      </w:r>
      <w:proofErr w:type="gramEnd"/>
      <w:r w:rsidRPr="00214C3A">
        <w:rPr>
          <w:sz w:val="22"/>
          <w:szCs w:val="22"/>
        </w:rPr>
        <w:t xml:space="preserve"> or collection process</w:t>
      </w:r>
      <w:r w:rsidR="00E61F93" w:rsidRPr="00214C3A">
        <w:rPr>
          <w:sz w:val="22"/>
          <w:szCs w:val="22"/>
        </w:rPr>
        <w:t>,</w:t>
      </w:r>
      <w:r w:rsidRPr="00214C3A">
        <w:rPr>
          <w:sz w:val="22"/>
          <w:szCs w:val="22"/>
        </w:rPr>
        <w:t xml:space="preserve"> or what</w:t>
      </w:r>
      <w:r w:rsidR="00DC44EC" w:rsidRPr="00214C3A">
        <w:rPr>
          <w:sz w:val="22"/>
          <w:szCs w:val="22"/>
        </w:rPr>
        <w:t xml:space="preserve"> to</w:t>
      </w:r>
      <w:r w:rsidRPr="00214C3A">
        <w:rPr>
          <w:sz w:val="22"/>
          <w:szCs w:val="22"/>
        </w:rPr>
        <w:t xml:space="preserve"> do when your client receives a notice</w:t>
      </w:r>
      <w:r w:rsidR="00E61F93" w:rsidRPr="00214C3A">
        <w:rPr>
          <w:sz w:val="22"/>
          <w:szCs w:val="22"/>
        </w:rPr>
        <w:t>?</w:t>
      </w:r>
      <w:r w:rsidRPr="00214C3A">
        <w:rPr>
          <w:sz w:val="22"/>
          <w:szCs w:val="22"/>
        </w:rPr>
        <w:t xml:space="preserve">  </w:t>
      </w:r>
      <w:r w:rsidR="00E61F93" w:rsidRPr="00214C3A">
        <w:rPr>
          <w:sz w:val="22"/>
          <w:szCs w:val="22"/>
        </w:rPr>
        <w:t xml:space="preserve">The </w:t>
      </w:r>
      <w:r w:rsidR="00DC44EC" w:rsidRPr="00214C3A">
        <w:rPr>
          <w:sz w:val="22"/>
          <w:szCs w:val="22"/>
        </w:rPr>
        <w:t xml:space="preserve">Taxpayer </w:t>
      </w:r>
      <w:hyperlink r:id="rId7" w:history="1">
        <w:r w:rsidR="00E61F93" w:rsidRPr="00214C3A">
          <w:rPr>
            <w:rStyle w:val="Hyperlink"/>
            <w:color w:val="auto"/>
            <w:sz w:val="22"/>
            <w:szCs w:val="22"/>
          </w:rPr>
          <w:t>Roadmap</w:t>
        </w:r>
      </w:hyperlink>
      <w:r w:rsidR="00E61F93" w:rsidRPr="00214C3A">
        <w:rPr>
          <w:sz w:val="22"/>
          <w:szCs w:val="22"/>
        </w:rPr>
        <w:t xml:space="preserve"> can </w:t>
      </w:r>
      <w:r w:rsidRPr="00214C3A">
        <w:rPr>
          <w:sz w:val="22"/>
          <w:szCs w:val="22"/>
        </w:rPr>
        <w:t xml:space="preserve">guide you through </w:t>
      </w:r>
      <w:r w:rsidR="00DA42A0" w:rsidRPr="00214C3A">
        <w:rPr>
          <w:sz w:val="22"/>
          <w:szCs w:val="22"/>
        </w:rPr>
        <w:t xml:space="preserve">these </w:t>
      </w:r>
      <w:r w:rsidRPr="00214C3A">
        <w:rPr>
          <w:sz w:val="22"/>
          <w:szCs w:val="22"/>
        </w:rPr>
        <w:t>process</w:t>
      </w:r>
      <w:r w:rsidR="00DA42A0" w:rsidRPr="00214C3A">
        <w:rPr>
          <w:sz w:val="22"/>
          <w:szCs w:val="22"/>
        </w:rPr>
        <w:t>es</w:t>
      </w:r>
      <w:r w:rsidRPr="00214C3A">
        <w:rPr>
          <w:sz w:val="22"/>
          <w:szCs w:val="22"/>
        </w:rPr>
        <w:t xml:space="preserve"> from beginning to end</w:t>
      </w:r>
      <w:r w:rsidR="00E61F93" w:rsidRPr="00214C3A">
        <w:rPr>
          <w:sz w:val="22"/>
          <w:szCs w:val="22"/>
        </w:rPr>
        <w:t>,</w:t>
      </w:r>
      <w:r w:rsidRPr="00214C3A">
        <w:rPr>
          <w:sz w:val="22"/>
          <w:szCs w:val="22"/>
        </w:rPr>
        <w:t xml:space="preserve"> including appeals and litigation. </w:t>
      </w:r>
      <w:r w:rsidR="00E61F93" w:rsidRPr="00214C3A">
        <w:rPr>
          <w:sz w:val="22"/>
          <w:szCs w:val="22"/>
        </w:rPr>
        <w:t xml:space="preserve">Use this </w:t>
      </w:r>
      <w:r w:rsidRPr="00214C3A">
        <w:rPr>
          <w:sz w:val="22"/>
          <w:szCs w:val="22"/>
        </w:rPr>
        <w:t xml:space="preserve">tool to look up a notice or letter and </w:t>
      </w:r>
      <w:r w:rsidR="00E61F93" w:rsidRPr="00214C3A">
        <w:rPr>
          <w:sz w:val="22"/>
          <w:szCs w:val="22"/>
        </w:rPr>
        <w:t xml:space="preserve">receive </w:t>
      </w:r>
      <w:r w:rsidRPr="00214C3A">
        <w:rPr>
          <w:sz w:val="22"/>
          <w:szCs w:val="22"/>
        </w:rPr>
        <w:t>guidance on next steps</w:t>
      </w:r>
      <w:r w:rsidR="00685570" w:rsidRPr="00214C3A">
        <w:rPr>
          <w:sz w:val="22"/>
          <w:szCs w:val="22"/>
        </w:rPr>
        <w:t>.</w:t>
      </w:r>
      <w:r w:rsidR="00E61F93" w:rsidRPr="00214C3A">
        <w:rPr>
          <w:sz w:val="22"/>
          <w:szCs w:val="22"/>
        </w:rPr>
        <w:t xml:space="preserve"> To</w:t>
      </w:r>
      <w:r w:rsidRPr="00214C3A">
        <w:rPr>
          <w:sz w:val="22"/>
          <w:szCs w:val="22"/>
        </w:rPr>
        <w:t xml:space="preserve"> look up a </w:t>
      </w:r>
      <w:r w:rsidR="00E61F93" w:rsidRPr="00214C3A">
        <w:rPr>
          <w:sz w:val="22"/>
          <w:szCs w:val="22"/>
        </w:rPr>
        <w:t xml:space="preserve">specific </w:t>
      </w:r>
      <w:r w:rsidRPr="00214C3A">
        <w:rPr>
          <w:sz w:val="22"/>
          <w:szCs w:val="22"/>
        </w:rPr>
        <w:t>notice</w:t>
      </w:r>
      <w:r w:rsidR="00E61F93" w:rsidRPr="00214C3A">
        <w:rPr>
          <w:sz w:val="22"/>
          <w:szCs w:val="22"/>
        </w:rPr>
        <w:t>,</w:t>
      </w:r>
      <w:r w:rsidRPr="00214C3A">
        <w:rPr>
          <w:sz w:val="22"/>
          <w:szCs w:val="22"/>
        </w:rPr>
        <w:t xml:space="preserve"> go to </w:t>
      </w:r>
      <w:hyperlink r:id="rId8" w:history="1">
        <w:r w:rsidRPr="00214C3A">
          <w:rPr>
            <w:rStyle w:val="Hyperlink"/>
            <w:color w:val="auto"/>
            <w:sz w:val="22"/>
            <w:szCs w:val="22"/>
          </w:rPr>
          <w:t xml:space="preserve">Notices from the IRS </w:t>
        </w:r>
      </w:hyperlink>
      <w:r w:rsidR="00E61F93" w:rsidRPr="00214C3A">
        <w:rPr>
          <w:sz w:val="22"/>
          <w:szCs w:val="22"/>
        </w:rPr>
        <w:t xml:space="preserve"> and input the notice number.</w:t>
      </w:r>
    </w:p>
    <w:p w14:paraId="367F0251" w14:textId="77777777" w:rsidR="006211D8" w:rsidRPr="00214C3A" w:rsidRDefault="00E61F93" w:rsidP="006211D8">
      <w:pPr>
        <w:rPr>
          <w:sz w:val="22"/>
          <w:szCs w:val="22"/>
        </w:rPr>
      </w:pPr>
      <w:r w:rsidRPr="00214C3A">
        <w:rPr>
          <w:sz w:val="22"/>
          <w:szCs w:val="22"/>
        </w:rPr>
        <w:t>For help with</w:t>
      </w:r>
      <w:r w:rsidR="006211D8" w:rsidRPr="00214C3A">
        <w:rPr>
          <w:sz w:val="22"/>
          <w:szCs w:val="22"/>
        </w:rPr>
        <w:t xml:space="preserve"> a tax issue</w:t>
      </w:r>
      <w:r w:rsidRPr="00214C3A">
        <w:rPr>
          <w:sz w:val="22"/>
          <w:szCs w:val="22"/>
        </w:rPr>
        <w:t>, visit the</w:t>
      </w:r>
      <w:r w:rsidR="006211D8" w:rsidRPr="00214C3A">
        <w:rPr>
          <w:sz w:val="22"/>
          <w:szCs w:val="22"/>
        </w:rPr>
        <w:t xml:space="preserve"> </w:t>
      </w:r>
      <w:hyperlink r:id="rId9" w:history="1">
        <w:r w:rsidRPr="00214C3A">
          <w:rPr>
            <w:rStyle w:val="Hyperlink"/>
            <w:color w:val="auto"/>
            <w:sz w:val="22"/>
            <w:szCs w:val="22"/>
          </w:rPr>
          <w:t>Get Help</w:t>
        </w:r>
      </w:hyperlink>
      <w:r w:rsidR="006211D8" w:rsidRPr="00214C3A">
        <w:rPr>
          <w:sz w:val="22"/>
          <w:szCs w:val="22"/>
        </w:rPr>
        <w:t xml:space="preserve"> page and find </w:t>
      </w:r>
      <w:r w:rsidR="00C26EA2" w:rsidRPr="00214C3A">
        <w:rPr>
          <w:sz w:val="22"/>
          <w:szCs w:val="22"/>
        </w:rPr>
        <w:t>information on</w:t>
      </w:r>
      <w:r w:rsidR="006211D8" w:rsidRPr="00214C3A">
        <w:rPr>
          <w:sz w:val="22"/>
          <w:szCs w:val="22"/>
        </w:rPr>
        <w:t xml:space="preserve"> filing returns, refundable credits, refunds, small business information, international issues</w:t>
      </w:r>
      <w:r w:rsidR="00C26EA2" w:rsidRPr="00214C3A">
        <w:rPr>
          <w:sz w:val="22"/>
          <w:szCs w:val="22"/>
        </w:rPr>
        <w:t xml:space="preserve">, </w:t>
      </w:r>
      <w:r w:rsidR="006211D8" w:rsidRPr="00214C3A">
        <w:rPr>
          <w:sz w:val="22"/>
          <w:szCs w:val="22"/>
        </w:rPr>
        <w:t>interacting with the IRS in the examination and collection process</w:t>
      </w:r>
      <w:r w:rsidR="00C26EA2" w:rsidRPr="00214C3A">
        <w:rPr>
          <w:sz w:val="22"/>
          <w:szCs w:val="22"/>
        </w:rPr>
        <w:t>, and more</w:t>
      </w:r>
      <w:r w:rsidR="006211D8" w:rsidRPr="00214C3A">
        <w:rPr>
          <w:sz w:val="22"/>
          <w:szCs w:val="22"/>
        </w:rPr>
        <w:t xml:space="preserve">. TAS also provides </w:t>
      </w:r>
      <w:hyperlink r:id="rId10" w:history="1">
        <w:r w:rsidR="006211D8" w:rsidRPr="00214C3A">
          <w:rPr>
            <w:rStyle w:val="Hyperlink"/>
            <w:color w:val="auto"/>
            <w:sz w:val="22"/>
            <w:szCs w:val="22"/>
          </w:rPr>
          <w:t>Tax Tips</w:t>
        </w:r>
      </w:hyperlink>
      <w:r w:rsidR="006211D8" w:rsidRPr="00214C3A">
        <w:rPr>
          <w:sz w:val="22"/>
          <w:szCs w:val="22"/>
        </w:rPr>
        <w:t xml:space="preserve"> on current issues such as the </w:t>
      </w:r>
      <w:r w:rsidR="00DC44EC" w:rsidRPr="00214C3A">
        <w:rPr>
          <w:sz w:val="22"/>
          <w:szCs w:val="22"/>
        </w:rPr>
        <w:t>E</w:t>
      </w:r>
      <w:r w:rsidR="006211D8" w:rsidRPr="00214C3A">
        <w:rPr>
          <w:sz w:val="22"/>
          <w:szCs w:val="22"/>
        </w:rPr>
        <w:t xml:space="preserve">mployee </w:t>
      </w:r>
      <w:r w:rsidR="00DC44EC" w:rsidRPr="00214C3A">
        <w:rPr>
          <w:sz w:val="22"/>
          <w:szCs w:val="22"/>
        </w:rPr>
        <w:t>R</w:t>
      </w:r>
      <w:r w:rsidR="006211D8" w:rsidRPr="00214C3A">
        <w:rPr>
          <w:sz w:val="22"/>
          <w:szCs w:val="22"/>
        </w:rPr>
        <w:t xml:space="preserve">etention </w:t>
      </w:r>
      <w:r w:rsidR="00DC44EC" w:rsidRPr="00214C3A">
        <w:rPr>
          <w:sz w:val="22"/>
          <w:szCs w:val="22"/>
        </w:rPr>
        <w:t>C</w:t>
      </w:r>
      <w:r w:rsidR="006211D8" w:rsidRPr="00214C3A">
        <w:rPr>
          <w:sz w:val="22"/>
          <w:szCs w:val="22"/>
        </w:rPr>
        <w:t>redit</w:t>
      </w:r>
      <w:r w:rsidR="00F43A21" w:rsidRPr="00214C3A">
        <w:rPr>
          <w:sz w:val="22"/>
          <w:szCs w:val="22"/>
        </w:rPr>
        <w:t xml:space="preserve"> (ERC)</w:t>
      </w:r>
      <w:r w:rsidR="006211D8" w:rsidRPr="00214C3A">
        <w:rPr>
          <w:sz w:val="22"/>
          <w:szCs w:val="22"/>
        </w:rPr>
        <w:t xml:space="preserve">, IRS notices, and filing season reminders. If you want to keep current with the latest news and information, </w:t>
      </w:r>
      <w:r w:rsidR="008304CF" w:rsidRPr="00214C3A">
        <w:rPr>
          <w:sz w:val="22"/>
          <w:szCs w:val="22"/>
        </w:rPr>
        <w:t xml:space="preserve">follow </w:t>
      </w:r>
      <w:r w:rsidR="00C26EA2" w:rsidRPr="00214C3A">
        <w:rPr>
          <w:sz w:val="22"/>
          <w:szCs w:val="22"/>
        </w:rPr>
        <w:t xml:space="preserve">the </w:t>
      </w:r>
      <w:hyperlink r:id="rId11" w:history="1">
        <w:r w:rsidR="00C26EA2" w:rsidRPr="00214C3A">
          <w:rPr>
            <w:rStyle w:val="Hyperlink"/>
            <w:color w:val="auto"/>
            <w:sz w:val="22"/>
            <w:szCs w:val="22"/>
          </w:rPr>
          <w:t xml:space="preserve">National Taxpayer Advocate’s </w:t>
        </w:r>
        <w:r w:rsidR="00694ECD" w:rsidRPr="00214C3A">
          <w:rPr>
            <w:rStyle w:val="Hyperlink"/>
            <w:color w:val="auto"/>
            <w:sz w:val="22"/>
            <w:szCs w:val="22"/>
          </w:rPr>
          <w:t xml:space="preserve">(NTA) </w:t>
        </w:r>
        <w:r w:rsidR="00C26EA2" w:rsidRPr="00214C3A">
          <w:rPr>
            <w:rStyle w:val="Hyperlink"/>
            <w:color w:val="auto"/>
            <w:sz w:val="22"/>
            <w:szCs w:val="22"/>
          </w:rPr>
          <w:t>blog</w:t>
        </w:r>
      </w:hyperlink>
      <w:r w:rsidR="00C26EA2" w:rsidRPr="00214C3A">
        <w:rPr>
          <w:sz w:val="22"/>
          <w:szCs w:val="22"/>
        </w:rPr>
        <w:t xml:space="preserve">, </w:t>
      </w:r>
      <w:r w:rsidR="00DC44EC" w:rsidRPr="00214C3A">
        <w:rPr>
          <w:sz w:val="22"/>
          <w:szCs w:val="22"/>
        </w:rPr>
        <w:t xml:space="preserve">or </w:t>
      </w:r>
      <w:r w:rsidR="00C26EA2" w:rsidRPr="00214C3A">
        <w:rPr>
          <w:sz w:val="22"/>
          <w:szCs w:val="22"/>
        </w:rPr>
        <w:t xml:space="preserve">you can </w:t>
      </w:r>
      <w:hyperlink r:id="rId12" w:history="1">
        <w:r w:rsidR="00C26EA2" w:rsidRPr="00214C3A">
          <w:rPr>
            <w:rStyle w:val="Hyperlink"/>
            <w:color w:val="auto"/>
            <w:sz w:val="22"/>
            <w:szCs w:val="22"/>
          </w:rPr>
          <w:t>subscribe to email updates</w:t>
        </w:r>
      </w:hyperlink>
      <w:r w:rsidR="00C26EA2" w:rsidRPr="00214C3A">
        <w:rPr>
          <w:sz w:val="22"/>
          <w:szCs w:val="22"/>
        </w:rPr>
        <w:t>.</w:t>
      </w:r>
    </w:p>
    <w:p w14:paraId="4188C13B" w14:textId="77777777" w:rsidR="006211D8" w:rsidRPr="00214C3A" w:rsidRDefault="006211D8" w:rsidP="006211D8">
      <w:pPr>
        <w:rPr>
          <w:sz w:val="22"/>
          <w:szCs w:val="22"/>
        </w:rPr>
      </w:pPr>
      <w:r w:rsidRPr="00214C3A">
        <w:rPr>
          <w:sz w:val="22"/>
          <w:szCs w:val="22"/>
        </w:rPr>
        <w:t>TAS hosts events throughout the year</w:t>
      </w:r>
      <w:r w:rsidR="00C26EA2" w:rsidRPr="00214C3A">
        <w:rPr>
          <w:sz w:val="22"/>
          <w:szCs w:val="22"/>
        </w:rPr>
        <w:t xml:space="preserve"> to assist tax </w:t>
      </w:r>
      <w:r w:rsidR="0046794D" w:rsidRPr="00214C3A">
        <w:rPr>
          <w:sz w:val="22"/>
          <w:szCs w:val="22"/>
        </w:rPr>
        <w:t xml:space="preserve">return </w:t>
      </w:r>
      <w:r w:rsidR="00C26EA2" w:rsidRPr="00214C3A">
        <w:rPr>
          <w:sz w:val="22"/>
          <w:szCs w:val="22"/>
        </w:rPr>
        <w:t>preparers</w:t>
      </w:r>
      <w:r w:rsidRPr="00214C3A">
        <w:rPr>
          <w:sz w:val="22"/>
          <w:szCs w:val="22"/>
        </w:rPr>
        <w:t xml:space="preserve">. </w:t>
      </w:r>
      <w:r w:rsidR="00C26EA2" w:rsidRPr="00214C3A">
        <w:rPr>
          <w:sz w:val="22"/>
          <w:szCs w:val="22"/>
        </w:rPr>
        <w:t>Attend one of our</w:t>
      </w:r>
      <w:r w:rsidRPr="00214C3A">
        <w:rPr>
          <w:sz w:val="22"/>
          <w:szCs w:val="22"/>
        </w:rPr>
        <w:t xml:space="preserve"> </w:t>
      </w:r>
      <w:r w:rsidR="00167093" w:rsidRPr="00214C3A">
        <w:rPr>
          <w:sz w:val="22"/>
          <w:szCs w:val="22"/>
        </w:rPr>
        <w:t xml:space="preserve">local </w:t>
      </w:r>
      <w:hyperlink r:id="rId13" w:history="1">
        <w:r w:rsidRPr="00214C3A">
          <w:rPr>
            <w:sz w:val="22"/>
            <w:szCs w:val="22"/>
            <w:u w:val="single"/>
          </w:rPr>
          <w:t xml:space="preserve">Pre-Filing Season Awareness Events </w:t>
        </w:r>
      </w:hyperlink>
      <w:r w:rsidRPr="00214C3A">
        <w:rPr>
          <w:sz w:val="22"/>
          <w:szCs w:val="22"/>
        </w:rPr>
        <w:t xml:space="preserve">to get tips to avoid common return preparation errors </w:t>
      </w:r>
      <w:r w:rsidR="00C26EA2" w:rsidRPr="00214C3A">
        <w:rPr>
          <w:sz w:val="22"/>
          <w:szCs w:val="22"/>
        </w:rPr>
        <w:t xml:space="preserve">and </w:t>
      </w:r>
      <w:r w:rsidRPr="00214C3A">
        <w:rPr>
          <w:sz w:val="22"/>
          <w:szCs w:val="22"/>
        </w:rPr>
        <w:t xml:space="preserve">help avoid unnecessary processing and refund delays this </w:t>
      </w:r>
      <w:r w:rsidR="00F43A21" w:rsidRPr="00214C3A">
        <w:rPr>
          <w:sz w:val="22"/>
          <w:szCs w:val="22"/>
        </w:rPr>
        <w:t>filing</w:t>
      </w:r>
      <w:r w:rsidRPr="00214C3A">
        <w:rPr>
          <w:sz w:val="22"/>
          <w:szCs w:val="22"/>
        </w:rPr>
        <w:t xml:space="preserve"> season. In addition, TAS hosts </w:t>
      </w:r>
      <w:hyperlink r:id="rId14" w:history="1">
        <w:r w:rsidRPr="00214C3A">
          <w:rPr>
            <w:rStyle w:val="Hyperlink"/>
            <w:color w:val="auto"/>
            <w:sz w:val="22"/>
            <w:szCs w:val="22"/>
          </w:rPr>
          <w:t>Problem Solving Day events</w:t>
        </w:r>
      </w:hyperlink>
      <w:r w:rsidRPr="00214C3A">
        <w:rPr>
          <w:sz w:val="22"/>
          <w:szCs w:val="22"/>
        </w:rPr>
        <w:t xml:space="preserve"> </w:t>
      </w:r>
      <w:r w:rsidR="00C26EA2" w:rsidRPr="00214C3A">
        <w:rPr>
          <w:sz w:val="22"/>
          <w:szCs w:val="22"/>
        </w:rPr>
        <w:t xml:space="preserve">throughout the year </w:t>
      </w:r>
      <w:r w:rsidRPr="00214C3A">
        <w:rPr>
          <w:sz w:val="22"/>
          <w:szCs w:val="22"/>
        </w:rPr>
        <w:t>where you can meet with TAS employees in person</w:t>
      </w:r>
      <w:r w:rsidR="00DC44EC" w:rsidRPr="00214C3A">
        <w:rPr>
          <w:sz w:val="22"/>
          <w:szCs w:val="22"/>
        </w:rPr>
        <w:t xml:space="preserve">. Events are added throughout the year, so check back often </w:t>
      </w:r>
      <w:r w:rsidRPr="00214C3A">
        <w:rPr>
          <w:sz w:val="22"/>
          <w:szCs w:val="22"/>
        </w:rPr>
        <w:t xml:space="preserve">to see when your Local Taxpayer Advocate will be hosting an event in your </w:t>
      </w:r>
      <w:r w:rsidR="00167093" w:rsidRPr="00214C3A">
        <w:rPr>
          <w:sz w:val="22"/>
          <w:szCs w:val="22"/>
        </w:rPr>
        <w:t>area</w:t>
      </w:r>
      <w:r w:rsidRPr="00214C3A">
        <w:rPr>
          <w:sz w:val="22"/>
          <w:szCs w:val="22"/>
        </w:rPr>
        <w:t>.</w:t>
      </w:r>
    </w:p>
    <w:p w14:paraId="3669CC2D" w14:textId="77777777" w:rsidR="006211D8" w:rsidRPr="00214C3A" w:rsidRDefault="00C26EA2" w:rsidP="006211D8">
      <w:pPr>
        <w:rPr>
          <w:sz w:val="22"/>
          <w:szCs w:val="22"/>
        </w:rPr>
      </w:pPr>
      <w:r w:rsidRPr="00214C3A">
        <w:rPr>
          <w:sz w:val="22"/>
          <w:szCs w:val="22"/>
        </w:rPr>
        <w:t>If your client</w:t>
      </w:r>
      <w:r w:rsidR="006211D8" w:rsidRPr="00214C3A">
        <w:rPr>
          <w:sz w:val="22"/>
          <w:szCs w:val="22"/>
        </w:rPr>
        <w:t xml:space="preserve"> </w:t>
      </w:r>
      <w:r w:rsidRPr="00214C3A">
        <w:rPr>
          <w:sz w:val="22"/>
          <w:szCs w:val="22"/>
        </w:rPr>
        <w:t xml:space="preserve">hasn’t </w:t>
      </w:r>
      <w:r w:rsidR="006211D8" w:rsidRPr="00214C3A">
        <w:rPr>
          <w:sz w:val="22"/>
          <w:szCs w:val="22"/>
        </w:rPr>
        <w:t xml:space="preserve">been able to resolve their tax problems with the IRS, use our </w:t>
      </w:r>
      <w:hyperlink r:id="rId15" w:history="1">
        <w:r w:rsidR="006211D8" w:rsidRPr="00214C3A">
          <w:rPr>
            <w:rStyle w:val="Hyperlink"/>
            <w:color w:val="auto"/>
            <w:sz w:val="22"/>
            <w:szCs w:val="22"/>
          </w:rPr>
          <w:t>TAS Qualifier Tool</w:t>
        </w:r>
      </w:hyperlink>
      <w:r w:rsidR="006211D8" w:rsidRPr="00214C3A">
        <w:rPr>
          <w:sz w:val="22"/>
          <w:szCs w:val="22"/>
        </w:rPr>
        <w:t xml:space="preserve"> to help determine if TAS can assist you. If you have identified a problem that affects more than one of your clients that may be a systemic, policy</w:t>
      </w:r>
      <w:r w:rsidR="00DC44EC" w:rsidRPr="00214C3A">
        <w:rPr>
          <w:sz w:val="22"/>
          <w:szCs w:val="22"/>
        </w:rPr>
        <w:t>,</w:t>
      </w:r>
      <w:r w:rsidR="006211D8" w:rsidRPr="00214C3A">
        <w:rPr>
          <w:sz w:val="22"/>
          <w:szCs w:val="22"/>
        </w:rPr>
        <w:t xml:space="preserve"> or procedural issue with the IRS, then use the </w:t>
      </w:r>
      <w:hyperlink r:id="rId16" w:history="1">
        <w:r w:rsidR="006211D8" w:rsidRPr="00214C3A">
          <w:rPr>
            <w:rStyle w:val="Hyperlink"/>
            <w:color w:val="auto"/>
            <w:sz w:val="22"/>
            <w:szCs w:val="22"/>
          </w:rPr>
          <w:t>Systemic Advocacy Management System (SAMS)</w:t>
        </w:r>
      </w:hyperlink>
      <w:r w:rsidR="006211D8" w:rsidRPr="00214C3A">
        <w:rPr>
          <w:sz w:val="22"/>
          <w:szCs w:val="22"/>
        </w:rPr>
        <w:t xml:space="preserve"> to report it to us. </w:t>
      </w:r>
    </w:p>
    <w:p w14:paraId="13CAA8BA" w14:textId="77777777" w:rsidR="004D6174" w:rsidRPr="00214C3A" w:rsidRDefault="004D6174" w:rsidP="006211D8">
      <w:pPr>
        <w:rPr>
          <w:sz w:val="22"/>
          <w:szCs w:val="22"/>
        </w:rPr>
      </w:pPr>
    </w:p>
    <w:p w14:paraId="60B79AE5" w14:textId="77777777" w:rsidR="006211D8" w:rsidRPr="00214C3A" w:rsidRDefault="006211D8" w:rsidP="006211D8">
      <w:pPr>
        <w:rPr>
          <w:sz w:val="22"/>
          <w:szCs w:val="22"/>
        </w:rPr>
      </w:pPr>
      <w:r w:rsidRPr="00214C3A">
        <w:rPr>
          <w:b/>
          <w:bCs/>
          <w:sz w:val="22"/>
          <w:szCs w:val="22"/>
        </w:rPr>
        <w:t>Make sure your clients receive the</w:t>
      </w:r>
      <w:r w:rsidR="00EE68B1" w:rsidRPr="00214C3A">
        <w:rPr>
          <w:b/>
          <w:bCs/>
          <w:sz w:val="22"/>
          <w:szCs w:val="22"/>
        </w:rPr>
        <w:t xml:space="preserve"> </w:t>
      </w:r>
      <w:r w:rsidRPr="00214C3A">
        <w:rPr>
          <w:b/>
          <w:bCs/>
          <w:sz w:val="22"/>
          <w:szCs w:val="22"/>
        </w:rPr>
        <w:t xml:space="preserve">credits </w:t>
      </w:r>
      <w:r w:rsidR="00F43A21" w:rsidRPr="00214C3A">
        <w:rPr>
          <w:b/>
          <w:bCs/>
          <w:sz w:val="22"/>
          <w:szCs w:val="22"/>
        </w:rPr>
        <w:t xml:space="preserve">for which </w:t>
      </w:r>
      <w:r w:rsidRPr="00214C3A">
        <w:rPr>
          <w:b/>
          <w:bCs/>
          <w:sz w:val="22"/>
          <w:szCs w:val="22"/>
        </w:rPr>
        <w:t xml:space="preserve">they’re </w:t>
      </w:r>
      <w:proofErr w:type="gramStart"/>
      <w:r w:rsidRPr="00214C3A">
        <w:rPr>
          <w:b/>
          <w:bCs/>
          <w:sz w:val="22"/>
          <w:szCs w:val="22"/>
        </w:rPr>
        <w:t>eligible</w:t>
      </w:r>
      <w:proofErr w:type="gramEnd"/>
      <w:r w:rsidRPr="00214C3A">
        <w:rPr>
          <w:b/>
          <w:bCs/>
          <w:sz w:val="22"/>
          <w:szCs w:val="22"/>
        </w:rPr>
        <w:t xml:space="preserve"> </w:t>
      </w:r>
    </w:p>
    <w:p w14:paraId="7EBE2D49" w14:textId="77777777" w:rsidR="006211D8" w:rsidRPr="00214C3A" w:rsidRDefault="006211D8" w:rsidP="006211D8">
      <w:pPr>
        <w:rPr>
          <w:sz w:val="22"/>
          <w:szCs w:val="22"/>
        </w:rPr>
      </w:pPr>
      <w:r w:rsidRPr="00214C3A">
        <w:rPr>
          <w:sz w:val="22"/>
          <w:szCs w:val="22"/>
        </w:rPr>
        <w:t>To make sure your clients receive all the child</w:t>
      </w:r>
      <w:r w:rsidR="00DC44EC" w:rsidRPr="00214C3A">
        <w:rPr>
          <w:sz w:val="22"/>
          <w:szCs w:val="22"/>
        </w:rPr>
        <w:t>-</w:t>
      </w:r>
      <w:r w:rsidRPr="00214C3A">
        <w:rPr>
          <w:sz w:val="22"/>
          <w:szCs w:val="22"/>
        </w:rPr>
        <w:t xml:space="preserve">related and other credits </w:t>
      </w:r>
      <w:r w:rsidR="00F43A21" w:rsidRPr="00214C3A">
        <w:rPr>
          <w:sz w:val="22"/>
          <w:szCs w:val="22"/>
        </w:rPr>
        <w:t xml:space="preserve">for which </w:t>
      </w:r>
      <w:r w:rsidRPr="00214C3A">
        <w:rPr>
          <w:sz w:val="22"/>
          <w:szCs w:val="22"/>
        </w:rPr>
        <w:t>they are eligible</w:t>
      </w:r>
      <w:r w:rsidR="00BF5961" w:rsidRPr="00214C3A">
        <w:rPr>
          <w:sz w:val="22"/>
          <w:szCs w:val="22"/>
        </w:rPr>
        <w:t>,</w:t>
      </w:r>
      <w:r w:rsidRPr="00214C3A">
        <w:rPr>
          <w:sz w:val="22"/>
          <w:szCs w:val="22"/>
        </w:rPr>
        <w:t xml:space="preserve"> </w:t>
      </w:r>
      <w:r w:rsidR="00BF5961" w:rsidRPr="00214C3A">
        <w:rPr>
          <w:sz w:val="22"/>
          <w:szCs w:val="22"/>
        </w:rPr>
        <w:t>refer to</w:t>
      </w:r>
      <w:r w:rsidRPr="00214C3A">
        <w:rPr>
          <w:sz w:val="22"/>
          <w:szCs w:val="22"/>
        </w:rPr>
        <w:t xml:space="preserve"> the resources available on the TAS website.</w:t>
      </w:r>
    </w:p>
    <w:p w14:paraId="60DC5183" w14:textId="77777777" w:rsidR="006211D8" w:rsidRPr="00214C3A" w:rsidRDefault="006211D8" w:rsidP="006211D8">
      <w:pPr>
        <w:pStyle w:val="ListParagraph"/>
        <w:numPr>
          <w:ilvl w:val="0"/>
          <w:numId w:val="9"/>
        </w:numPr>
        <w:rPr>
          <w:sz w:val="22"/>
          <w:szCs w:val="22"/>
        </w:rPr>
      </w:pPr>
      <w:r w:rsidRPr="00214C3A">
        <w:rPr>
          <w:sz w:val="22"/>
          <w:szCs w:val="22"/>
        </w:rPr>
        <w:t xml:space="preserve">In the </w:t>
      </w:r>
      <w:hyperlink r:id="rId17" w:history="1">
        <w:r w:rsidRPr="00214C3A">
          <w:rPr>
            <w:rStyle w:val="Hyperlink"/>
            <w:color w:val="auto"/>
            <w:sz w:val="22"/>
            <w:szCs w:val="22"/>
          </w:rPr>
          <w:t xml:space="preserve">Get Help </w:t>
        </w:r>
        <w:r w:rsidR="00694ECD" w:rsidRPr="00214C3A">
          <w:rPr>
            <w:rStyle w:val="Hyperlink"/>
            <w:color w:val="auto"/>
            <w:sz w:val="22"/>
            <w:szCs w:val="22"/>
          </w:rPr>
          <w:t>– Credits</w:t>
        </w:r>
      </w:hyperlink>
      <w:r w:rsidR="00694ECD" w:rsidRPr="00214C3A">
        <w:rPr>
          <w:sz w:val="22"/>
          <w:szCs w:val="22"/>
        </w:rPr>
        <w:t xml:space="preserve"> </w:t>
      </w:r>
      <w:r w:rsidRPr="00214C3A">
        <w:rPr>
          <w:sz w:val="22"/>
          <w:szCs w:val="22"/>
        </w:rPr>
        <w:t>section of the TAS website</w:t>
      </w:r>
      <w:r w:rsidR="000A326C" w:rsidRPr="00214C3A">
        <w:rPr>
          <w:sz w:val="22"/>
          <w:szCs w:val="22"/>
        </w:rPr>
        <w:t>,</w:t>
      </w:r>
      <w:r w:rsidRPr="00214C3A">
        <w:rPr>
          <w:sz w:val="22"/>
          <w:szCs w:val="22"/>
        </w:rPr>
        <w:t xml:space="preserve"> </w:t>
      </w:r>
      <w:r w:rsidR="00694ECD" w:rsidRPr="00214C3A">
        <w:rPr>
          <w:sz w:val="22"/>
          <w:szCs w:val="22"/>
        </w:rPr>
        <w:t>you’ll find</w:t>
      </w:r>
      <w:r w:rsidRPr="00214C3A">
        <w:rPr>
          <w:sz w:val="22"/>
          <w:szCs w:val="22"/>
        </w:rPr>
        <w:t xml:space="preserve"> information on the eligibility rules and tax law changes for claiming the </w:t>
      </w:r>
      <w:hyperlink r:id="rId18" w:history="1">
        <w:r w:rsidR="000A326C" w:rsidRPr="00214C3A">
          <w:rPr>
            <w:rStyle w:val="Hyperlink"/>
            <w:color w:val="auto"/>
            <w:sz w:val="22"/>
            <w:szCs w:val="22"/>
          </w:rPr>
          <w:t xml:space="preserve">Earned Income Tax Credit </w:t>
        </w:r>
        <w:r w:rsidR="00694ECD" w:rsidRPr="00214C3A">
          <w:rPr>
            <w:rStyle w:val="Hyperlink"/>
            <w:color w:val="auto"/>
            <w:sz w:val="22"/>
            <w:szCs w:val="22"/>
          </w:rPr>
          <w:t>(EITC)</w:t>
        </w:r>
      </w:hyperlink>
      <w:r w:rsidR="00694ECD" w:rsidRPr="00214C3A">
        <w:rPr>
          <w:sz w:val="22"/>
          <w:szCs w:val="22"/>
        </w:rPr>
        <w:t xml:space="preserve"> </w:t>
      </w:r>
      <w:r w:rsidR="000A326C" w:rsidRPr="00214C3A">
        <w:rPr>
          <w:sz w:val="22"/>
          <w:szCs w:val="22"/>
        </w:rPr>
        <w:t>and Child Tax Credit</w:t>
      </w:r>
      <w:r w:rsidRPr="00214C3A">
        <w:rPr>
          <w:sz w:val="22"/>
          <w:szCs w:val="22"/>
        </w:rPr>
        <w:t xml:space="preserve">, </w:t>
      </w:r>
      <w:r w:rsidR="000A326C" w:rsidRPr="00214C3A">
        <w:rPr>
          <w:sz w:val="22"/>
          <w:szCs w:val="22"/>
        </w:rPr>
        <w:t xml:space="preserve">as well as </w:t>
      </w:r>
      <w:r w:rsidRPr="00214C3A">
        <w:rPr>
          <w:sz w:val="22"/>
          <w:szCs w:val="22"/>
        </w:rPr>
        <w:t xml:space="preserve">education and home credits. </w:t>
      </w:r>
    </w:p>
    <w:p w14:paraId="7F300280" w14:textId="77777777" w:rsidR="006211D8" w:rsidRPr="00214C3A" w:rsidRDefault="006211D8" w:rsidP="00DC44EC">
      <w:pPr>
        <w:pStyle w:val="ListParagraph"/>
        <w:ind w:left="1440"/>
        <w:rPr>
          <w:sz w:val="22"/>
          <w:szCs w:val="22"/>
        </w:rPr>
      </w:pPr>
      <w:r w:rsidRPr="00214C3A">
        <w:rPr>
          <w:sz w:val="22"/>
          <w:szCs w:val="22"/>
        </w:rPr>
        <w:t xml:space="preserve">    </w:t>
      </w:r>
    </w:p>
    <w:p w14:paraId="6FDCE8A0" w14:textId="77777777" w:rsidR="006211D8" w:rsidRPr="00214C3A" w:rsidRDefault="006211D8" w:rsidP="006211D8">
      <w:pPr>
        <w:pStyle w:val="ListParagraph"/>
        <w:numPr>
          <w:ilvl w:val="0"/>
          <w:numId w:val="9"/>
        </w:numPr>
        <w:rPr>
          <w:sz w:val="22"/>
          <w:szCs w:val="22"/>
        </w:rPr>
      </w:pPr>
      <w:r w:rsidRPr="00214C3A">
        <w:rPr>
          <w:sz w:val="22"/>
          <w:szCs w:val="22"/>
        </w:rPr>
        <w:t xml:space="preserve">The </w:t>
      </w:r>
      <w:r w:rsidR="00694ECD" w:rsidRPr="00214C3A">
        <w:rPr>
          <w:sz w:val="22"/>
          <w:szCs w:val="22"/>
        </w:rPr>
        <w:t>N</w:t>
      </w:r>
      <w:r w:rsidR="00303B71" w:rsidRPr="00214C3A">
        <w:rPr>
          <w:sz w:val="22"/>
          <w:szCs w:val="22"/>
        </w:rPr>
        <w:t xml:space="preserve">ational </w:t>
      </w:r>
      <w:r w:rsidR="00694ECD" w:rsidRPr="00214C3A">
        <w:rPr>
          <w:sz w:val="22"/>
          <w:szCs w:val="22"/>
        </w:rPr>
        <w:t>T</w:t>
      </w:r>
      <w:r w:rsidR="00303B71" w:rsidRPr="00214C3A">
        <w:rPr>
          <w:sz w:val="22"/>
          <w:szCs w:val="22"/>
        </w:rPr>
        <w:t xml:space="preserve">axpayer </w:t>
      </w:r>
      <w:r w:rsidR="00694ECD" w:rsidRPr="00214C3A">
        <w:rPr>
          <w:sz w:val="22"/>
          <w:szCs w:val="22"/>
        </w:rPr>
        <w:t>A</w:t>
      </w:r>
      <w:r w:rsidR="00303B71" w:rsidRPr="00214C3A">
        <w:rPr>
          <w:sz w:val="22"/>
          <w:szCs w:val="22"/>
        </w:rPr>
        <w:t>dvocate</w:t>
      </w:r>
      <w:r w:rsidRPr="00214C3A">
        <w:rPr>
          <w:sz w:val="22"/>
          <w:szCs w:val="22"/>
        </w:rPr>
        <w:t xml:space="preserve"> has also written about issues identified with the EITC in </w:t>
      </w:r>
      <w:r w:rsidR="00167093" w:rsidRPr="00214C3A">
        <w:rPr>
          <w:sz w:val="22"/>
          <w:szCs w:val="22"/>
        </w:rPr>
        <w:t>the</w:t>
      </w:r>
      <w:r w:rsidRPr="00214C3A">
        <w:rPr>
          <w:sz w:val="22"/>
          <w:szCs w:val="22"/>
        </w:rPr>
        <w:t xml:space="preserve"> Annual Reports to Congress and provide</w:t>
      </w:r>
      <w:r w:rsidR="00694ECD" w:rsidRPr="00214C3A">
        <w:rPr>
          <w:sz w:val="22"/>
          <w:szCs w:val="22"/>
        </w:rPr>
        <w:t>d</w:t>
      </w:r>
      <w:r w:rsidRPr="00214C3A">
        <w:rPr>
          <w:sz w:val="22"/>
          <w:szCs w:val="22"/>
        </w:rPr>
        <w:t xml:space="preserve"> recommendations</w:t>
      </w:r>
      <w:r w:rsidR="00303B71" w:rsidRPr="00214C3A">
        <w:rPr>
          <w:sz w:val="22"/>
          <w:szCs w:val="22"/>
        </w:rPr>
        <w:t>:</w:t>
      </w:r>
    </w:p>
    <w:p w14:paraId="08D53358" w14:textId="77777777" w:rsidR="00DC44EC" w:rsidRPr="00214C3A" w:rsidRDefault="00000000" w:rsidP="006211D8">
      <w:pPr>
        <w:pStyle w:val="ListParagraph"/>
        <w:numPr>
          <w:ilvl w:val="1"/>
          <w:numId w:val="9"/>
        </w:numPr>
        <w:rPr>
          <w:sz w:val="22"/>
          <w:szCs w:val="22"/>
        </w:rPr>
      </w:pPr>
      <w:hyperlink r:id="rId19" w:history="1">
        <w:r w:rsidR="006211D8" w:rsidRPr="00214C3A">
          <w:rPr>
            <w:rStyle w:val="Hyperlink"/>
            <w:color w:val="auto"/>
            <w:sz w:val="22"/>
            <w:szCs w:val="22"/>
          </w:rPr>
          <w:t>The IRS Inappropriately Bans Many Taxpayers from Claiming EITC</w:t>
        </w:r>
      </w:hyperlink>
      <w:r w:rsidR="006211D8" w:rsidRPr="00214C3A">
        <w:rPr>
          <w:sz w:val="22"/>
          <w:szCs w:val="22"/>
        </w:rPr>
        <w:t xml:space="preserve"> </w:t>
      </w:r>
    </w:p>
    <w:p w14:paraId="761F7C20" w14:textId="77777777" w:rsidR="006211D8" w:rsidRPr="00214C3A" w:rsidRDefault="00000000" w:rsidP="006211D8">
      <w:pPr>
        <w:pStyle w:val="ListParagraph"/>
        <w:numPr>
          <w:ilvl w:val="1"/>
          <w:numId w:val="9"/>
        </w:numPr>
        <w:rPr>
          <w:sz w:val="22"/>
          <w:szCs w:val="22"/>
        </w:rPr>
      </w:pPr>
      <w:hyperlink r:id="rId20" w:history="1">
        <w:r w:rsidR="00920B87" w:rsidRPr="00214C3A">
          <w:rPr>
            <w:rStyle w:val="Hyperlink"/>
            <w:color w:val="auto"/>
            <w:sz w:val="22"/>
            <w:szCs w:val="22"/>
          </w:rPr>
          <w:t>Study of Two-Year Bans on the Earned Income Tax Credit, Child Tax Credit and American Opportunity Tax Credit</w:t>
        </w:r>
      </w:hyperlink>
    </w:p>
    <w:p w14:paraId="30E9CA91" w14:textId="77777777" w:rsidR="006211D8" w:rsidRPr="00214C3A" w:rsidRDefault="00BF5961" w:rsidP="006211D8">
      <w:pPr>
        <w:rPr>
          <w:b/>
          <w:bCs/>
          <w:sz w:val="22"/>
          <w:szCs w:val="22"/>
        </w:rPr>
      </w:pPr>
      <w:r w:rsidRPr="00214C3A">
        <w:rPr>
          <w:b/>
          <w:bCs/>
          <w:sz w:val="22"/>
          <w:szCs w:val="22"/>
        </w:rPr>
        <w:lastRenderedPageBreak/>
        <w:t>Resources</w:t>
      </w:r>
      <w:r w:rsidR="004D6174" w:rsidRPr="00214C3A">
        <w:rPr>
          <w:b/>
          <w:bCs/>
          <w:sz w:val="22"/>
          <w:szCs w:val="22"/>
        </w:rPr>
        <w:t xml:space="preserve"> to help your client</w:t>
      </w:r>
      <w:r w:rsidRPr="00214C3A">
        <w:rPr>
          <w:b/>
          <w:bCs/>
          <w:sz w:val="22"/>
          <w:szCs w:val="22"/>
        </w:rPr>
        <w:t xml:space="preserve"> with their </w:t>
      </w:r>
      <w:r w:rsidR="00F43A21" w:rsidRPr="00214C3A">
        <w:rPr>
          <w:b/>
          <w:bCs/>
          <w:sz w:val="22"/>
          <w:szCs w:val="22"/>
        </w:rPr>
        <w:t>ERC</w:t>
      </w:r>
      <w:r w:rsidR="004D6174" w:rsidRPr="00214C3A">
        <w:rPr>
          <w:b/>
          <w:bCs/>
          <w:sz w:val="22"/>
          <w:szCs w:val="22"/>
        </w:rPr>
        <w:t xml:space="preserve"> </w:t>
      </w:r>
      <w:proofErr w:type="gramStart"/>
      <w:r w:rsidR="00694ECD" w:rsidRPr="00214C3A">
        <w:rPr>
          <w:b/>
          <w:bCs/>
          <w:sz w:val="22"/>
          <w:szCs w:val="22"/>
        </w:rPr>
        <w:t>c</w:t>
      </w:r>
      <w:r w:rsidR="004D6174" w:rsidRPr="00214C3A">
        <w:rPr>
          <w:b/>
          <w:bCs/>
          <w:sz w:val="22"/>
          <w:szCs w:val="22"/>
        </w:rPr>
        <w:t>laim</w:t>
      </w:r>
      <w:proofErr w:type="gramEnd"/>
    </w:p>
    <w:p w14:paraId="140CE8BB" w14:textId="77777777" w:rsidR="006211D8" w:rsidRPr="00214C3A" w:rsidRDefault="006211D8" w:rsidP="00BF5961">
      <w:pPr>
        <w:pStyle w:val="NormalWeb"/>
        <w:shd w:val="clear" w:color="auto" w:fill="FFFFFF"/>
        <w:spacing w:before="0" w:beforeAutospacing="0" w:after="150" w:afterAutospacing="0"/>
        <w:rPr>
          <w:rFonts w:ascii="Arial" w:hAnsi="Arial" w:cs="Arial"/>
          <w:sz w:val="22"/>
          <w:szCs w:val="22"/>
          <w:shd w:val="clear" w:color="auto" w:fill="FFFFFF"/>
        </w:rPr>
      </w:pPr>
      <w:r w:rsidRPr="00214C3A">
        <w:rPr>
          <w:rFonts w:ascii="Arial" w:hAnsi="Arial" w:cs="Arial"/>
          <w:sz w:val="22"/>
          <w:szCs w:val="22"/>
          <w:shd w:val="clear" w:color="auto" w:fill="FFFFFF"/>
        </w:rPr>
        <w:t>The ERC – sometimes called the Employee Retention Tax Credit – is a refundable tax credit for businesses and tax-exempt organizations that had employees and were affected during the COVID-19 pandemic. Employers should be wary of ERC advertisements that advise them to "apply" for money by claiming the ERC when they may not qualify</w:t>
      </w:r>
      <w:r w:rsidR="00DC44EC" w:rsidRPr="00214C3A">
        <w:rPr>
          <w:rFonts w:ascii="Arial" w:hAnsi="Arial" w:cs="Arial"/>
          <w:sz w:val="22"/>
          <w:szCs w:val="22"/>
          <w:shd w:val="clear" w:color="auto" w:fill="FFFFFF"/>
        </w:rPr>
        <w:t xml:space="preserve"> (</w:t>
      </w:r>
      <w:r w:rsidRPr="00214C3A">
        <w:rPr>
          <w:rFonts w:ascii="Arial" w:hAnsi="Arial" w:cs="Arial"/>
          <w:sz w:val="22"/>
          <w:szCs w:val="22"/>
          <w:shd w:val="clear" w:color="auto" w:fill="FFFFFF"/>
        </w:rPr>
        <w:t>see </w:t>
      </w:r>
      <w:hyperlink r:id="rId21" w:history="1">
        <w:r w:rsidRPr="00214C3A">
          <w:rPr>
            <w:rStyle w:val="Hyperlink"/>
            <w:rFonts w:ascii="Arial" w:hAnsi="Arial" w:cs="Arial"/>
            <w:color w:val="auto"/>
            <w:sz w:val="22"/>
            <w:szCs w:val="22"/>
            <w:shd w:val="clear" w:color="auto" w:fill="FFFFFF"/>
          </w:rPr>
          <w:t>TAS Tax Tip – Don’t Fall Victim to an ERC Scheme</w:t>
        </w:r>
        <w:r w:rsidR="00DC44EC" w:rsidRPr="00214C3A">
          <w:rPr>
            <w:rStyle w:val="Hyperlink"/>
            <w:rFonts w:ascii="Arial" w:hAnsi="Arial" w:cs="Arial"/>
            <w:color w:val="auto"/>
            <w:sz w:val="22"/>
            <w:szCs w:val="22"/>
            <w:shd w:val="clear" w:color="auto" w:fill="FFFFFF"/>
          </w:rPr>
          <w:t>)</w:t>
        </w:r>
        <w:r w:rsidRPr="00214C3A">
          <w:rPr>
            <w:rStyle w:val="Hyperlink"/>
            <w:rFonts w:ascii="Arial" w:hAnsi="Arial" w:cs="Arial"/>
            <w:color w:val="auto"/>
            <w:sz w:val="22"/>
            <w:szCs w:val="22"/>
            <w:shd w:val="clear" w:color="auto" w:fill="FFFFFF"/>
          </w:rPr>
          <w:t>.</w:t>
        </w:r>
      </w:hyperlink>
      <w:r w:rsidRPr="00214C3A">
        <w:rPr>
          <w:rFonts w:ascii="Arial" w:hAnsi="Arial" w:cs="Arial"/>
          <w:sz w:val="22"/>
          <w:szCs w:val="22"/>
          <w:shd w:val="clear" w:color="auto" w:fill="FFFFFF"/>
        </w:rPr>
        <w:t xml:space="preserve"> If you need help figuring out if you're eligible to claim the ERC, use the </w:t>
      </w:r>
      <w:hyperlink r:id="rId22" w:tooltip="Employee Retention Credit Eligibility Checklist: Help understanding this complex credit" w:history="1">
        <w:r w:rsidRPr="00214C3A">
          <w:rPr>
            <w:rStyle w:val="Hyperlink"/>
            <w:rFonts w:ascii="Arial" w:hAnsi="Arial" w:cs="Arial"/>
            <w:color w:val="auto"/>
            <w:sz w:val="22"/>
            <w:szCs w:val="22"/>
            <w:shd w:val="clear" w:color="auto" w:fill="FFFFFF"/>
          </w:rPr>
          <w:t>Employee Retention Credit Eligibility Checklist</w:t>
        </w:r>
      </w:hyperlink>
      <w:r w:rsidRPr="00214C3A">
        <w:rPr>
          <w:rFonts w:ascii="Arial" w:hAnsi="Arial" w:cs="Arial"/>
          <w:sz w:val="22"/>
          <w:szCs w:val="22"/>
          <w:shd w:val="clear" w:color="auto" w:fill="FFFFFF"/>
        </w:rPr>
        <w:t xml:space="preserve">. </w:t>
      </w:r>
    </w:p>
    <w:p w14:paraId="4E490F6C" w14:textId="77777777" w:rsidR="006211D8" w:rsidRPr="00214C3A" w:rsidRDefault="006211D8" w:rsidP="00BF5961">
      <w:pPr>
        <w:pStyle w:val="NormalWeb"/>
        <w:shd w:val="clear" w:color="auto" w:fill="FFFFFF"/>
        <w:spacing w:before="0" w:beforeAutospacing="0" w:after="150" w:afterAutospacing="0"/>
        <w:rPr>
          <w:rFonts w:ascii="Arial" w:hAnsi="Arial" w:cs="Arial"/>
          <w:sz w:val="22"/>
          <w:szCs w:val="22"/>
          <w:shd w:val="clear" w:color="auto" w:fill="FFFFFF"/>
        </w:rPr>
      </w:pPr>
      <w:r w:rsidRPr="00214C3A">
        <w:rPr>
          <w:rFonts w:ascii="Arial" w:hAnsi="Arial" w:cs="Arial"/>
          <w:sz w:val="22"/>
          <w:szCs w:val="22"/>
          <w:shd w:val="clear" w:color="auto" w:fill="FFFFFF"/>
        </w:rPr>
        <w:t xml:space="preserve">Amid rising concerns about a flood of improper </w:t>
      </w:r>
      <w:r w:rsidR="00F43A21" w:rsidRPr="00214C3A">
        <w:rPr>
          <w:rFonts w:ascii="Arial" w:hAnsi="Arial" w:cs="Arial"/>
          <w:sz w:val="22"/>
          <w:szCs w:val="22"/>
          <w:shd w:val="clear" w:color="auto" w:fill="FFFFFF"/>
        </w:rPr>
        <w:t>ERC</w:t>
      </w:r>
      <w:r w:rsidRPr="00214C3A">
        <w:rPr>
          <w:rFonts w:ascii="Arial" w:hAnsi="Arial" w:cs="Arial"/>
          <w:sz w:val="22"/>
          <w:szCs w:val="22"/>
          <w:shd w:val="clear" w:color="auto" w:fill="FFFFFF"/>
        </w:rPr>
        <w:t xml:space="preserve"> claims, the IRS </w:t>
      </w:r>
      <w:hyperlink r:id="rId23" w:history="1">
        <w:r w:rsidRPr="00214C3A">
          <w:rPr>
            <w:rStyle w:val="Hyperlink"/>
            <w:rFonts w:ascii="Arial" w:hAnsi="Arial" w:cs="Arial"/>
            <w:color w:val="auto"/>
            <w:sz w:val="22"/>
            <w:szCs w:val="22"/>
            <w:shd w:val="clear" w:color="auto" w:fill="FFFFFF"/>
          </w:rPr>
          <w:t>announced an immediate moratorium</w:t>
        </w:r>
      </w:hyperlink>
      <w:r w:rsidRPr="00214C3A">
        <w:rPr>
          <w:rFonts w:ascii="Arial" w:hAnsi="Arial" w:cs="Arial"/>
          <w:sz w:val="22"/>
          <w:szCs w:val="22"/>
          <w:shd w:val="clear" w:color="auto" w:fill="FFFFFF"/>
        </w:rPr>
        <w:t xml:space="preserve"> through the end of </w:t>
      </w:r>
      <w:r w:rsidR="00DC44EC" w:rsidRPr="00214C3A">
        <w:rPr>
          <w:rFonts w:ascii="Arial" w:hAnsi="Arial" w:cs="Arial"/>
          <w:sz w:val="22"/>
          <w:szCs w:val="22"/>
          <w:shd w:val="clear" w:color="auto" w:fill="FFFFFF"/>
        </w:rPr>
        <w:t>2023</w:t>
      </w:r>
      <w:r w:rsidRPr="00214C3A">
        <w:rPr>
          <w:rFonts w:ascii="Arial" w:hAnsi="Arial" w:cs="Arial"/>
          <w:sz w:val="22"/>
          <w:szCs w:val="22"/>
          <w:shd w:val="clear" w:color="auto" w:fill="FFFFFF"/>
        </w:rPr>
        <w:t xml:space="preserve"> on processing new claims. </w:t>
      </w:r>
      <w:r w:rsidRPr="00214C3A">
        <w:rPr>
          <w:rFonts w:ascii="Arial" w:hAnsi="Arial" w:cs="Arial"/>
          <w:sz w:val="22"/>
          <w:szCs w:val="22"/>
        </w:rPr>
        <w:t xml:space="preserve">Visit </w:t>
      </w:r>
      <w:hyperlink r:id="rId24" w:history="1">
        <w:r w:rsidRPr="00214C3A">
          <w:rPr>
            <w:rStyle w:val="Hyperlink"/>
            <w:rFonts w:ascii="Arial" w:hAnsi="Arial" w:cs="Arial"/>
            <w:color w:val="auto"/>
            <w:sz w:val="22"/>
            <w:szCs w:val="22"/>
          </w:rPr>
          <w:t>TAS Tax Tip: Waiting on an ERC Refund</w:t>
        </w:r>
      </w:hyperlink>
      <w:r w:rsidRPr="00214C3A">
        <w:rPr>
          <w:rFonts w:ascii="Arial" w:hAnsi="Arial" w:cs="Arial"/>
          <w:sz w:val="22"/>
          <w:szCs w:val="22"/>
        </w:rPr>
        <w:t xml:space="preserve"> for additional information.</w:t>
      </w:r>
    </w:p>
    <w:p w14:paraId="63E172A1" w14:textId="77777777" w:rsidR="006211D8" w:rsidRPr="00214C3A" w:rsidRDefault="006211D8" w:rsidP="00BF5961">
      <w:pPr>
        <w:pStyle w:val="NormalWeb"/>
        <w:shd w:val="clear" w:color="auto" w:fill="FFFFFF"/>
        <w:spacing w:before="0" w:beforeAutospacing="0" w:after="150" w:afterAutospacing="0"/>
        <w:rPr>
          <w:rFonts w:ascii="Arial" w:hAnsi="Arial" w:cs="Arial"/>
          <w:sz w:val="22"/>
          <w:szCs w:val="22"/>
        </w:rPr>
      </w:pPr>
      <w:r w:rsidRPr="00214C3A">
        <w:rPr>
          <w:rFonts w:ascii="Arial" w:hAnsi="Arial" w:cs="Arial"/>
          <w:sz w:val="22"/>
          <w:szCs w:val="22"/>
          <w:shd w:val="clear" w:color="auto" w:fill="FFFFFF"/>
        </w:rPr>
        <w:t>If you</w:t>
      </w:r>
      <w:r w:rsidR="00F43A21" w:rsidRPr="00214C3A">
        <w:rPr>
          <w:rFonts w:ascii="Arial" w:hAnsi="Arial" w:cs="Arial"/>
          <w:sz w:val="22"/>
          <w:szCs w:val="22"/>
          <w:shd w:val="clear" w:color="auto" w:fill="FFFFFF"/>
        </w:rPr>
        <w:t>r client</w:t>
      </w:r>
      <w:r w:rsidRPr="00214C3A">
        <w:rPr>
          <w:rFonts w:ascii="Arial" w:hAnsi="Arial" w:cs="Arial"/>
          <w:sz w:val="22"/>
          <w:szCs w:val="22"/>
          <w:shd w:val="clear" w:color="auto" w:fill="FFFFFF"/>
        </w:rPr>
        <w:t xml:space="preserve"> filed a claim requesting a refund for an</w:t>
      </w:r>
      <w:r w:rsidR="00167093" w:rsidRPr="00214C3A">
        <w:rPr>
          <w:rFonts w:ascii="Arial" w:hAnsi="Arial" w:cs="Arial"/>
          <w:sz w:val="22"/>
          <w:szCs w:val="22"/>
          <w:shd w:val="clear" w:color="auto" w:fill="FFFFFF"/>
        </w:rPr>
        <w:t xml:space="preserve"> </w:t>
      </w:r>
      <w:r w:rsidRPr="00214C3A">
        <w:rPr>
          <w:rFonts w:ascii="Arial" w:hAnsi="Arial" w:cs="Arial"/>
          <w:sz w:val="22"/>
          <w:szCs w:val="22"/>
          <w:shd w:val="clear" w:color="auto" w:fill="FFFFFF"/>
        </w:rPr>
        <w:t xml:space="preserve">ERC and would now like to withdraw </w:t>
      </w:r>
      <w:r w:rsidR="00F43A21" w:rsidRPr="00214C3A">
        <w:rPr>
          <w:rFonts w:ascii="Arial" w:hAnsi="Arial" w:cs="Arial"/>
          <w:sz w:val="22"/>
          <w:szCs w:val="22"/>
          <w:shd w:val="clear" w:color="auto" w:fill="FFFFFF"/>
        </w:rPr>
        <w:t>that</w:t>
      </w:r>
      <w:r w:rsidRPr="00214C3A">
        <w:rPr>
          <w:rFonts w:ascii="Arial" w:hAnsi="Arial" w:cs="Arial"/>
          <w:sz w:val="22"/>
          <w:szCs w:val="22"/>
          <w:shd w:val="clear" w:color="auto" w:fill="FFFFFF"/>
        </w:rPr>
        <w:t xml:space="preserve"> claim</w:t>
      </w:r>
      <w:r w:rsidR="00F43A21" w:rsidRPr="00214C3A">
        <w:rPr>
          <w:rFonts w:ascii="Arial" w:hAnsi="Arial" w:cs="Arial"/>
          <w:sz w:val="22"/>
          <w:szCs w:val="22"/>
          <w:shd w:val="clear" w:color="auto" w:fill="FFFFFF"/>
        </w:rPr>
        <w:t>,</w:t>
      </w:r>
      <w:r w:rsidRPr="00214C3A">
        <w:rPr>
          <w:rFonts w:ascii="Arial" w:hAnsi="Arial" w:cs="Arial"/>
          <w:sz w:val="22"/>
          <w:szCs w:val="22"/>
          <w:shd w:val="clear" w:color="auto" w:fill="FFFFFF"/>
        </w:rPr>
        <w:t xml:space="preserve"> go to</w:t>
      </w:r>
      <w:r w:rsidRPr="00214C3A">
        <w:rPr>
          <w:rFonts w:ascii="Arial" w:hAnsi="Arial" w:cs="Arial"/>
          <w:sz w:val="22"/>
          <w:szCs w:val="22"/>
        </w:rPr>
        <w:t> </w:t>
      </w:r>
      <w:hyperlink r:id="rId25" w:tooltip="Frequently asked questions about the Employee Retention Credit" w:history="1">
        <w:r w:rsidRPr="00214C3A">
          <w:rPr>
            <w:rStyle w:val="Hyperlink"/>
            <w:rFonts w:ascii="Arial" w:hAnsi="Arial" w:cs="Arial"/>
            <w:color w:val="auto"/>
            <w:sz w:val="22"/>
            <w:szCs w:val="22"/>
          </w:rPr>
          <w:t>frequently asked questions (FAQs)</w:t>
        </w:r>
      </w:hyperlink>
      <w:r w:rsidRPr="00214C3A">
        <w:rPr>
          <w:rFonts w:ascii="Arial" w:hAnsi="Arial" w:cs="Arial"/>
          <w:sz w:val="22"/>
          <w:szCs w:val="22"/>
        </w:rPr>
        <w:t xml:space="preserve"> for ERC </w:t>
      </w:r>
      <w:r w:rsidR="00DC44EC" w:rsidRPr="00214C3A">
        <w:rPr>
          <w:rFonts w:ascii="Arial" w:hAnsi="Arial" w:cs="Arial"/>
          <w:sz w:val="22"/>
          <w:szCs w:val="22"/>
        </w:rPr>
        <w:t xml:space="preserve">for information </w:t>
      </w:r>
      <w:r w:rsidRPr="00214C3A">
        <w:rPr>
          <w:rFonts w:ascii="Arial" w:hAnsi="Arial" w:cs="Arial"/>
          <w:sz w:val="22"/>
          <w:szCs w:val="22"/>
        </w:rPr>
        <w:t>regarding eligibility, withdrawing an ERC claim, recordkeeping</w:t>
      </w:r>
      <w:r w:rsidR="00DC44EC" w:rsidRPr="00214C3A">
        <w:rPr>
          <w:rFonts w:ascii="Arial" w:hAnsi="Arial" w:cs="Arial"/>
          <w:sz w:val="22"/>
          <w:szCs w:val="22"/>
        </w:rPr>
        <w:t>,</w:t>
      </w:r>
      <w:r w:rsidRPr="00214C3A">
        <w:rPr>
          <w:rFonts w:ascii="Arial" w:hAnsi="Arial" w:cs="Arial"/>
          <w:sz w:val="22"/>
          <w:szCs w:val="22"/>
        </w:rPr>
        <w:t xml:space="preserve"> and scams. Visit </w:t>
      </w:r>
      <w:hyperlink r:id="rId26" w:history="1">
        <w:r w:rsidRPr="00214C3A">
          <w:rPr>
            <w:rStyle w:val="Hyperlink"/>
            <w:rFonts w:ascii="Arial" w:hAnsi="Arial" w:cs="Arial"/>
            <w:color w:val="auto"/>
            <w:sz w:val="22"/>
            <w:szCs w:val="22"/>
          </w:rPr>
          <w:t xml:space="preserve">TAS Tax Tip: </w:t>
        </w:r>
        <w:r w:rsidR="00BF5961" w:rsidRPr="00214C3A">
          <w:rPr>
            <w:rStyle w:val="Hyperlink"/>
            <w:rFonts w:ascii="Arial" w:hAnsi="Arial" w:cs="Arial"/>
            <w:color w:val="auto"/>
            <w:sz w:val="22"/>
            <w:szCs w:val="22"/>
          </w:rPr>
          <w:t>Resolving an Improper ERC Claim</w:t>
        </w:r>
      </w:hyperlink>
      <w:r w:rsidRPr="00214C3A">
        <w:rPr>
          <w:rFonts w:ascii="Arial" w:hAnsi="Arial" w:cs="Arial"/>
          <w:sz w:val="22"/>
          <w:szCs w:val="22"/>
        </w:rPr>
        <w:t xml:space="preserve"> for additional information.</w:t>
      </w:r>
    </w:p>
    <w:p w14:paraId="5AF786DE" w14:textId="77777777" w:rsidR="006D3E74" w:rsidRPr="00214C3A" w:rsidRDefault="006D3E74" w:rsidP="006D3E74">
      <w:pPr>
        <w:shd w:val="clear" w:color="auto" w:fill="FFFFFF"/>
        <w:spacing w:before="100" w:beforeAutospacing="1" w:after="100" w:afterAutospacing="1" w:line="240" w:lineRule="auto"/>
        <w:contextualSpacing/>
        <w:rPr>
          <w:b/>
          <w:bCs/>
          <w:sz w:val="22"/>
          <w:szCs w:val="22"/>
        </w:rPr>
      </w:pPr>
      <w:r w:rsidRPr="00214C3A">
        <w:rPr>
          <w:b/>
          <w:bCs/>
          <w:sz w:val="22"/>
          <w:szCs w:val="22"/>
        </w:rPr>
        <w:t>Additional Resources</w:t>
      </w:r>
    </w:p>
    <w:p w14:paraId="64FDE091" w14:textId="77777777" w:rsidR="006D3E74" w:rsidRPr="00214C3A" w:rsidRDefault="006D3E74" w:rsidP="006D3E74">
      <w:pPr>
        <w:spacing w:before="160"/>
        <w:rPr>
          <w:rFonts w:eastAsia="Times New Roman"/>
          <w:b/>
          <w:bCs/>
          <w:sz w:val="22"/>
          <w:szCs w:val="22"/>
        </w:rPr>
      </w:pPr>
      <w:r w:rsidRPr="00214C3A">
        <w:rPr>
          <w:rFonts w:eastAsia="Times New Roman"/>
          <w:b/>
          <w:bCs/>
          <w:sz w:val="22"/>
          <w:szCs w:val="22"/>
        </w:rPr>
        <w:t>(Begin accordion section of website – user can click on BOLD headings and section will drop down with information below)</w:t>
      </w:r>
    </w:p>
    <w:p w14:paraId="7A9D066B" w14:textId="77777777" w:rsidR="006D3E74" w:rsidRPr="00214C3A" w:rsidRDefault="006D3E74" w:rsidP="006D3E74">
      <w:pPr>
        <w:shd w:val="clear" w:color="auto" w:fill="FFFFFF"/>
        <w:spacing w:before="100" w:beforeAutospacing="1" w:after="100" w:afterAutospacing="1" w:line="240" w:lineRule="auto"/>
        <w:contextualSpacing/>
        <w:rPr>
          <w:b/>
          <w:bCs/>
          <w:sz w:val="22"/>
          <w:szCs w:val="22"/>
        </w:rPr>
      </w:pPr>
    </w:p>
    <w:p w14:paraId="750C3EB7" w14:textId="77777777" w:rsidR="006D3E74" w:rsidRPr="00214C3A" w:rsidRDefault="006D3E74" w:rsidP="006D3E74">
      <w:pPr>
        <w:shd w:val="clear" w:color="auto" w:fill="FFFFFF"/>
        <w:spacing w:before="100" w:beforeAutospacing="1" w:after="100" w:afterAutospacing="1" w:line="240" w:lineRule="auto"/>
        <w:contextualSpacing/>
        <w:rPr>
          <w:b/>
          <w:bCs/>
          <w:sz w:val="22"/>
          <w:szCs w:val="22"/>
        </w:rPr>
      </w:pPr>
      <w:r w:rsidRPr="00214C3A">
        <w:rPr>
          <w:b/>
          <w:bCs/>
          <w:sz w:val="22"/>
          <w:szCs w:val="22"/>
        </w:rPr>
        <w:t xml:space="preserve">e-Services </w:t>
      </w:r>
    </w:p>
    <w:p w14:paraId="71CED875" w14:textId="77777777" w:rsidR="006D3E74" w:rsidRPr="00214C3A" w:rsidRDefault="00000000" w:rsidP="006D3E74">
      <w:pPr>
        <w:pStyle w:val="ListParagraph"/>
        <w:numPr>
          <w:ilvl w:val="0"/>
          <w:numId w:val="12"/>
        </w:numPr>
        <w:shd w:val="clear" w:color="auto" w:fill="FFFFFF"/>
        <w:spacing w:before="100" w:beforeAutospacing="1" w:after="100" w:afterAutospacing="1" w:line="240" w:lineRule="auto"/>
        <w:rPr>
          <w:b/>
          <w:bCs/>
          <w:sz w:val="22"/>
          <w:szCs w:val="22"/>
        </w:rPr>
      </w:pPr>
      <w:hyperlink r:id="rId27" w:tooltip="e-Services" w:history="1">
        <w:r w:rsidR="006D3E74" w:rsidRPr="00214C3A">
          <w:rPr>
            <w:rFonts w:eastAsia="Times New Roman"/>
            <w:sz w:val="22"/>
            <w:szCs w:val="22"/>
            <w:u w:val="single"/>
          </w:rPr>
          <w:t>e-Services - Online Tool for Tax Professionals</w:t>
        </w:r>
      </w:hyperlink>
      <w:r w:rsidR="006D3E74" w:rsidRPr="00214C3A">
        <w:rPr>
          <w:rFonts w:eastAsia="Times New Roman"/>
          <w:sz w:val="22"/>
          <w:szCs w:val="22"/>
          <w:u w:val="single"/>
        </w:rPr>
        <w:t>:</w:t>
      </w:r>
      <w:r w:rsidR="006D3E74" w:rsidRPr="00214C3A">
        <w:rPr>
          <w:rFonts w:eastAsia="Times New Roman"/>
          <w:sz w:val="22"/>
          <w:szCs w:val="22"/>
        </w:rPr>
        <w:t xml:space="preserve"> </w:t>
      </w:r>
      <w:r w:rsidR="006D3E74" w:rsidRPr="00214C3A">
        <w:rPr>
          <w:sz w:val="22"/>
          <w:szCs w:val="22"/>
        </w:rPr>
        <w:t>offers a suite of online tools available to tax professionals</w:t>
      </w:r>
      <w:r w:rsidR="006D3E74" w:rsidRPr="00214C3A">
        <w:rPr>
          <w:rFonts w:eastAsia="Times New Roman"/>
          <w:sz w:val="22"/>
          <w:szCs w:val="22"/>
        </w:rPr>
        <w:t>, to</w:t>
      </w:r>
      <w:r w:rsidR="006D3E74" w:rsidRPr="00214C3A">
        <w:rPr>
          <w:sz w:val="22"/>
          <w:szCs w:val="22"/>
        </w:rPr>
        <w:t xml:space="preserve"> assist in accessing your client’s accounts, sending in documents, completing an authorization, and obtaining transcripts.</w:t>
      </w:r>
      <w:r w:rsidR="006D3E74" w:rsidRPr="00214C3A">
        <w:rPr>
          <w:rFonts w:eastAsia="Times New Roman"/>
          <w:sz w:val="22"/>
          <w:szCs w:val="22"/>
        </w:rPr>
        <w:t xml:space="preserve"> </w:t>
      </w:r>
    </w:p>
    <w:p w14:paraId="2752E296" w14:textId="77777777" w:rsidR="006D3E74" w:rsidRPr="00214C3A" w:rsidRDefault="00000000" w:rsidP="00321225">
      <w:pPr>
        <w:pStyle w:val="ListParagraph"/>
        <w:numPr>
          <w:ilvl w:val="0"/>
          <w:numId w:val="12"/>
        </w:numPr>
        <w:shd w:val="clear" w:color="auto" w:fill="FFFFFF"/>
        <w:spacing w:before="100" w:beforeAutospacing="1" w:after="100" w:afterAutospacing="1" w:line="240" w:lineRule="auto"/>
        <w:rPr>
          <w:b/>
          <w:bCs/>
          <w:sz w:val="22"/>
          <w:szCs w:val="22"/>
        </w:rPr>
      </w:pPr>
      <w:hyperlink r:id="rId28" w:history="1">
        <w:r w:rsidR="006D3E74" w:rsidRPr="00214C3A">
          <w:rPr>
            <w:rStyle w:val="Hyperlink"/>
            <w:color w:val="auto"/>
            <w:sz w:val="22"/>
            <w:szCs w:val="22"/>
          </w:rPr>
          <w:t>IRS Tax Professionals site</w:t>
        </w:r>
      </w:hyperlink>
      <w:r w:rsidR="006D3E74" w:rsidRPr="00214C3A">
        <w:rPr>
          <w:sz w:val="22"/>
          <w:szCs w:val="22"/>
        </w:rPr>
        <w:t>: a</w:t>
      </w:r>
      <w:r w:rsidR="006D3E74" w:rsidRPr="00214C3A">
        <w:rPr>
          <w:rFonts w:eastAsia="Times New Roman"/>
          <w:sz w:val="22"/>
          <w:szCs w:val="22"/>
        </w:rPr>
        <w:t>dditional</w:t>
      </w:r>
      <w:r w:rsidR="006D3E74" w:rsidRPr="00214C3A">
        <w:rPr>
          <w:sz w:val="22"/>
          <w:szCs w:val="22"/>
        </w:rPr>
        <w:t xml:space="preserve"> information regarding online tools and services for tax professionals.  </w:t>
      </w:r>
    </w:p>
    <w:p w14:paraId="31CB657E" w14:textId="77777777" w:rsidR="006D3E74" w:rsidRPr="00214C3A" w:rsidRDefault="006D3E74" w:rsidP="006D3E74">
      <w:pPr>
        <w:pStyle w:val="ListParagraph"/>
        <w:shd w:val="clear" w:color="auto" w:fill="FFFFFF"/>
        <w:spacing w:before="100" w:beforeAutospacing="1" w:after="100" w:afterAutospacing="1" w:line="240" w:lineRule="auto"/>
        <w:ind w:left="1080"/>
        <w:rPr>
          <w:b/>
          <w:bCs/>
          <w:sz w:val="22"/>
          <w:szCs w:val="22"/>
        </w:rPr>
      </w:pPr>
    </w:p>
    <w:p w14:paraId="44F91F84" w14:textId="186CFC3F" w:rsidR="006D3E74" w:rsidRPr="00214C3A" w:rsidRDefault="006D3E74" w:rsidP="006D3E74">
      <w:pPr>
        <w:shd w:val="clear" w:color="auto" w:fill="FFFFFF"/>
        <w:spacing w:before="100" w:beforeAutospacing="1" w:after="100" w:afterAutospacing="1" w:line="240" w:lineRule="auto"/>
        <w:rPr>
          <w:b/>
          <w:bCs/>
          <w:sz w:val="22"/>
          <w:szCs w:val="22"/>
        </w:rPr>
      </w:pPr>
      <w:r w:rsidRPr="00214C3A">
        <w:rPr>
          <w:b/>
          <w:bCs/>
          <w:sz w:val="22"/>
          <w:szCs w:val="22"/>
        </w:rPr>
        <w:t xml:space="preserve">Tax Pro Account </w:t>
      </w:r>
    </w:p>
    <w:p w14:paraId="243AD356" w14:textId="77777777" w:rsidR="006D3E74" w:rsidRPr="00214C3A" w:rsidRDefault="006D3E74" w:rsidP="00BB7F54">
      <w:pPr>
        <w:pStyle w:val="ListParagraph"/>
        <w:numPr>
          <w:ilvl w:val="0"/>
          <w:numId w:val="1"/>
        </w:numPr>
        <w:shd w:val="clear" w:color="auto" w:fill="FFFFFF"/>
        <w:spacing w:before="100" w:beforeAutospacing="1" w:after="150" w:afterAutospacing="1" w:line="240" w:lineRule="auto"/>
        <w:ind w:left="1080"/>
        <w:rPr>
          <w:rFonts w:eastAsia="Times New Roman"/>
          <w:b/>
          <w:bCs/>
          <w:sz w:val="22"/>
          <w:szCs w:val="22"/>
        </w:rPr>
      </w:pPr>
      <w:r w:rsidRPr="00214C3A">
        <w:rPr>
          <w:rFonts w:eastAsia="Times New Roman"/>
          <w:sz w:val="22"/>
          <w:szCs w:val="22"/>
        </w:rPr>
        <w:t xml:space="preserve">If you are a paid representative and have the authority to practice before the IRS, you can use your </w:t>
      </w:r>
      <w:hyperlink r:id="rId29" w:history="1">
        <w:r w:rsidRPr="00214C3A">
          <w:rPr>
            <w:rStyle w:val="Hyperlink"/>
            <w:rFonts w:eastAsia="Times New Roman"/>
            <w:color w:val="auto"/>
            <w:sz w:val="22"/>
            <w:szCs w:val="22"/>
          </w:rPr>
          <w:t>Tax Pro account</w:t>
        </w:r>
      </w:hyperlink>
      <w:r w:rsidRPr="00214C3A">
        <w:rPr>
          <w:rFonts w:eastAsia="Times New Roman"/>
          <w:sz w:val="22"/>
          <w:szCs w:val="22"/>
        </w:rPr>
        <w:t xml:space="preserve"> to request authorizations for periods from the last 20 years through the current year, plus 3 future years. </w:t>
      </w:r>
    </w:p>
    <w:p w14:paraId="7FCA4F8C" w14:textId="77777777" w:rsidR="006D3E74" w:rsidRPr="00214C3A" w:rsidRDefault="006D3E74" w:rsidP="00BB7F54">
      <w:pPr>
        <w:pStyle w:val="ListParagraph"/>
        <w:numPr>
          <w:ilvl w:val="0"/>
          <w:numId w:val="1"/>
        </w:numPr>
        <w:shd w:val="clear" w:color="auto" w:fill="FFFFFF"/>
        <w:spacing w:before="100" w:beforeAutospacing="1" w:after="150" w:afterAutospacing="1" w:line="240" w:lineRule="auto"/>
        <w:ind w:left="1080"/>
        <w:rPr>
          <w:rFonts w:eastAsia="Times New Roman"/>
          <w:b/>
          <w:bCs/>
          <w:sz w:val="22"/>
          <w:szCs w:val="22"/>
        </w:rPr>
      </w:pPr>
      <w:r w:rsidRPr="00214C3A">
        <w:rPr>
          <w:rFonts w:eastAsia="Times New Roman"/>
          <w:sz w:val="22"/>
          <w:szCs w:val="22"/>
        </w:rPr>
        <w:t xml:space="preserve">You can submit </w:t>
      </w:r>
      <w:r w:rsidR="00F43A21" w:rsidRPr="00214C3A">
        <w:rPr>
          <w:rFonts w:eastAsia="Times New Roman"/>
          <w:sz w:val="22"/>
          <w:szCs w:val="22"/>
        </w:rPr>
        <w:t xml:space="preserve">a </w:t>
      </w:r>
      <w:r w:rsidRPr="00214C3A">
        <w:rPr>
          <w:rFonts w:eastAsia="Times New Roman"/>
          <w:sz w:val="22"/>
          <w:szCs w:val="22"/>
        </w:rPr>
        <w:t>Power of Attorney</w:t>
      </w:r>
      <w:r w:rsidR="00F43A21" w:rsidRPr="00214C3A">
        <w:rPr>
          <w:rFonts w:eastAsia="Times New Roman"/>
          <w:sz w:val="22"/>
          <w:szCs w:val="22"/>
        </w:rPr>
        <w:t>, or Tax Information Authorization,</w:t>
      </w:r>
      <w:r w:rsidRPr="00214C3A">
        <w:rPr>
          <w:rFonts w:eastAsia="Times New Roman"/>
          <w:sz w:val="22"/>
          <w:szCs w:val="22"/>
        </w:rPr>
        <w:t xml:space="preserve"> </w:t>
      </w:r>
      <w:hyperlink r:id="rId30" w:history="1">
        <w:r w:rsidR="00F43A21" w:rsidRPr="00214C3A">
          <w:rPr>
            <w:rStyle w:val="Hyperlink"/>
            <w:rFonts w:eastAsia="Times New Roman"/>
            <w:color w:val="auto"/>
            <w:sz w:val="22"/>
            <w:szCs w:val="22"/>
          </w:rPr>
          <w:t>F</w:t>
        </w:r>
        <w:r w:rsidRPr="00214C3A">
          <w:rPr>
            <w:rStyle w:val="Hyperlink"/>
            <w:rFonts w:eastAsia="Times New Roman"/>
            <w:color w:val="auto"/>
            <w:sz w:val="22"/>
            <w:szCs w:val="22"/>
          </w:rPr>
          <w:t>orms 2848 and 8821</w:t>
        </w:r>
      </w:hyperlink>
      <w:r w:rsidR="00F43A21" w:rsidRPr="00214C3A">
        <w:rPr>
          <w:rStyle w:val="Hyperlink"/>
          <w:rFonts w:eastAsia="Times New Roman"/>
          <w:color w:val="auto"/>
          <w:sz w:val="22"/>
          <w:szCs w:val="22"/>
        </w:rPr>
        <w:t>, respectively,</w:t>
      </w:r>
      <w:r w:rsidRPr="00214C3A">
        <w:rPr>
          <w:rFonts w:eastAsia="Times New Roman"/>
          <w:sz w:val="22"/>
          <w:szCs w:val="22"/>
        </w:rPr>
        <w:t xml:space="preserve"> online.  </w:t>
      </w:r>
    </w:p>
    <w:p w14:paraId="0F5AAEBD" w14:textId="77777777" w:rsidR="006D3E74" w:rsidRPr="00214C3A" w:rsidRDefault="00000000" w:rsidP="00D74754">
      <w:pPr>
        <w:pStyle w:val="ListParagraph"/>
        <w:numPr>
          <w:ilvl w:val="0"/>
          <w:numId w:val="1"/>
        </w:numPr>
        <w:shd w:val="clear" w:color="auto" w:fill="FFFFFF"/>
        <w:spacing w:before="100" w:beforeAutospacing="1" w:after="100" w:afterAutospacing="1" w:line="240" w:lineRule="auto"/>
        <w:ind w:left="1080"/>
        <w:rPr>
          <w:rFonts w:eastAsia="Times New Roman"/>
          <w:sz w:val="22"/>
          <w:szCs w:val="22"/>
          <w:u w:val="single"/>
        </w:rPr>
      </w:pPr>
      <w:hyperlink r:id="rId31" w:history="1">
        <w:r w:rsidR="006D3E74" w:rsidRPr="00214C3A">
          <w:rPr>
            <w:rStyle w:val="Hyperlink"/>
            <w:color w:val="auto"/>
            <w:sz w:val="22"/>
            <w:szCs w:val="22"/>
          </w:rPr>
          <w:t>Sign in or create a Tax Pro Account</w:t>
        </w:r>
      </w:hyperlink>
      <w:r w:rsidR="006D3E74" w:rsidRPr="00214C3A">
        <w:rPr>
          <w:sz w:val="22"/>
          <w:szCs w:val="22"/>
        </w:rPr>
        <w:t>.</w:t>
      </w:r>
      <w:r w:rsidR="006D3E74" w:rsidRPr="00214C3A">
        <w:rPr>
          <w:sz w:val="22"/>
          <w:szCs w:val="22"/>
          <w:u w:val="single"/>
        </w:rPr>
        <w:t xml:space="preserve"> </w:t>
      </w:r>
    </w:p>
    <w:p w14:paraId="24EE4C53" w14:textId="77777777" w:rsidR="006D3E74" w:rsidRPr="00214C3A" w:rsidRDefault="006D3E74" w:rsidP="006D3E74">
      <w:pPr>
        <w:pStyle w:val="ListParagraph"/>
        <w:shd w:val="clear" w:color="auto" w:fill="FFFFFF"/>
        <w:spacing w:before="100" w:beforeAutospacing="1" w:after="100" w:afterAutospacing="1" w:line="240" w:lineRule="auto"/>
        <w:ind w:left="1080"/>
        <w:rPr>
          <w:rFonts w:eastAsia="Times New Roman"/>
          <w:sz w:val="22"/>
          <w:szCs w:val="22"/>
          <w:u w:val="single"/>
        </w:rPr>
      </w:pPr>
    </w:p>
    <w:p w14:paraId="64F2C073" w14:textId="77777777" w:rsidR="006D3E74" w:rsidRPr="00214C3A" w:rsidRDefault="006D3E74" w:rsidP="006D3E74">
      <w:pPr>
        <w:shd w:val="clear" w:color="auto" w:fill="FFFFFF"/>
        <w:spacing w:before="100" w:beforeAutospacing="1" w:after="100" w:afterAutospacing="1" w:line="240" w:lineRule="auto"/>
        <w:rPr>
          <w:rFonts w:eastAsia="Times New Roman"/>
          <w:sz w:val="22"/>
          <w:szCs w:val="22"/>
          <w:u w:val="single"/>
        </w:rPr>
      </w:pPr>
      <w:r w:rsidRPr="00214C3A">
        <w:rPr>
          <w:rFonts w:eastAsia="Times New Roman"/>
          <w:b/>
          <w:bCs/>
          <w:sz w:val="22"/>
          <w:szCs w:val="22"/>
        </w:rPr>
        <w:t>Document Upload Tool (DUT)</w:t>
      </w:r>
    </w:p>
    <w:p w14:paraId="4FCDF3BD" w14:textId="77777777" w:rsidR="006D3E74" w:rsidRPr="00214C3A" w:rsidRDefault="006D3E74" w:rsidP="006D3E74">
      <w:pPr>
        <w:pStyle w:val="ListParagraph"/>
        <w:numPr>
          <w:ilvl w:val="0"/>
          <w:numId w:val="1"/>
        </w:numPr>
        <w:shd w:val="clear" w:color="auto" w:fill="FFFFFF"/>
        <w:spacing w:after="150" w:line="240" w:lineRule="auto"/>
        <w:ind w:left="1080"/>
        <w:rPr>
          <w:rFonts w:eastAsia="Times New Roman"/>
          <w:sz w:val="22"/>
          <w:szCs w:val="22"/>
        </w:rPr>
      </w:pPr>
      <w:r w:rsidRPr="00214C3A">
        <w:rPr>
          <w:rFonts w:eastAsia="Times New Roman"/>
          <w:sz w:val="22"/>
          <w:szCs w:val="22"/>
        </w:rPr>
        <w:t xml:space="preserve">The </w:t>
      </w:r>
      <w:hyperlink r:id="rId32" w:history="1">
        <w:r w:rsidRPr="00214C3A">
          <w:rPr>
            <w:rStyle w:val="Hyperlink"/>
            <w:rFonts w:eastAsia="Times New Roman"/>
            <w:color w:val="auto"/>
            <w:sz w:val="22"/>
            <w:szCs w:val="22"/>
          </w:rPr>
          <w:t>IRS Document Upload Tool</w:t>
        </w:r>
      </w:hyperlink>
      <w:r w:rsidRPr="00214C3A">
        <w:rPr>
          <w:rFonts w:eastAsia="Times New Roman"/>
          <w:sz w:val="22"/>
          <w:szCs w:val="22"/>
        </w:rPr>
        <w:t xml:space="preserve"> allows paid tax professionals the option of submitting documents securely online on behalf of your client through IRS.gov. The Document Upload Tool is available to accept responses from nearly all notices and letters. </w:t>
      </w:r>
    </w:p>
    <w:p w14:paraId="2B0C6C15" w14:textId="77777777" w:rsidR="006D3E74" w:rsidRPr="00214C3A" w:rsidRDefault="006D3E74" w:rsidP="006D3E74">
      <w:pPr>
        <w:pStyle w:val="ListParagraph"/>
        <w:numPr>
          <w:ilvl w:val="0"/>
          <w:numId w:val="1"/>
        </w:numPr>
        <w:shd w:val="clear" w:color="auto" w:fill="FFFFFF"/>
        <w:spacing w:before="100" w:beforeAutospacing="1" w:after="100" w:afterAutospacing="1" w:line="240" w:lineRule="auto"/>
        <w:ind w:left="1080"/>
        <w:rPr>
          <w:rFonts w:eastAsia="Times New Roman"/>
          <w:sz w:val="22"/>
          <w:szCs w:val="22"/>
        </w:rPr>
      </w:pPr>
      <w:r w:rsidRPr="00214C3A">
        <w:rPr>
          <w:rFonts w:eastAsia="Times New Roman"/>
          <w:sz w:val="22"/>
          <w:szCs w:val="22"/>
          <w:u w:val="single"/>
        </w:rPr>
        <w:t>A</w:t>
      </w:r>
      <w:hyperlink r:id="rId33" w:history="1">
        <w:r w:rsidRPr="00214C3A">
          <w:rPr>
            <w:rStyle w:val="Hyperlink"/>
            <w:rFonts w:eastAsia="Times New Roman"/>
            <w:color w:val="auto"/>
            <w:sz w:val="22"/>
            <w:szCs w:val="22"/>
          </w:rPr>
          <w:t>ccess the Document Upload Tool</w:t>
        </w:r>
      </w:hyperlink>
      <w:r w:rsidRPr="00214C3A">
        <w:rPr>
          <w:rFonts w:eastAsia="Times New Roman"/>
          <w:sz w:val="22"/>
          <w:szCs w:val="22"/>
        </w:rPr>
        <w:t>.</w:t>
      </w:r>
    </w:p>
    <w:p w14:paraId="169B33FA" w14:textId="77777777" w:rsidR="006D3E74" w:rsidRPr="00214C3A" w:rsidRDefault="00000000" w:rsidP="006D3E74">
      <w:pPr>
        <w:pStyle w:val="ListParagraph"/>
        <w:numPr>
          <w:ilvl w:val="0"/>
          <w:numId w:val="1"/>
        </w:numPr>
        <w:shd w:val="clear" w:color="auto" w:fill="FFFFFF"/>
        <w:spacing w:before="100" w:beforeAutospacing="1" w:after="100" w:afterAutospacing="1" w:line="240" w:lineRule="auto"/>
        <w:ind w:left="1080"/>
        <w:rPr>
          <w:rFonts w:eastAsia="Times New Roman"/>
          <w:sz w:val="22"/>
          <w:szCs w:val="22"/>
        </w:rPr>
      </w:pPr>
      <w:hyperlink r:id="rId34" w:tooltip="Documentation Upload Tool Video hyperlink" w:history="1">
        <w:r w:rsidR="006D3E74" w:rsidRPr="00214C3A">
          <w:rPr>
            <w:rStyle w:val="Hyperlink"/>
            <w:color w:val="auto"/>
            <w:sz w:val="22"/>
            <w:szCs w:val="22"/>
          </w:rPr>
          <w:t>Watch the video: How to use the document upload tool</w:t>
        </w:r>
      </w:hyperlink>
      <w:r w:rsidR="006D3E74" w:rsidRPr="00214C3A">
        <w:rPr>
          <w:rStyle w:val="Hyperlink"/>
          <w:color w:val="auto"/>
          <w:sz w:val="22"/>
          <w:szCs w:val="22"/>
        </w:rPr>
        <w:t xml:space="preserve"> </w:t>
      </w:r>
    </w:p>
    <w:p w14:paraId="5B25C932" w14:textId="77777777" w:rsidR="006D3E74" w:rsidRPr="00214C3A" w:rsidRDefault="006D3E74" w:rsidP="006D3E74">
      <w:pPr>
        <w:contextualSpacing/>
        <w:rPr>
          <w:b/>
          <w:bCs/>
          <w:sz w:val="22"/>
          <w:szCs w:val="22"/>
        </w:rPr>
      </w:pPr>
      <w:r w:rsidRPr="00214C3A">
        <w:rPr>
          <w:b/>
          <w:bCs/>
          <w:sz w:val="22"/>
          <w:szCs w:val="22"/>
        </w:rPr>
        <w:lastRenderedPageBreak/>
        <w:t xml:space="preserve">Transcripts Delivery System </w:t>
      </w:r>
    </w:p>
    <w:p w14:paraId="53A47906" w14:textId="77777777" w:rsidR="006D3E74" w:rsidRPr="00214C3A" w:rsidRDefault="006D3E74" w:rsidP="006D3E74">
      <w:pPr>
        <w:pStyle w:val="ListParagraph"/>
        <w:numPr>
          <w:ilvl w:val="0"/>
          <w:numId w:val="1"/>
        </w:numPr>
        <w:shd w:val="clear" w:color="auto" w:fill="FFFFFF"/>
        <w:spacing w:after="150" w:line="240" w:lineRule="auto"/>
        <w:ind w:left="1080"/>
        <w:rPr>
          <w:rFonts w:eastAsia="Times New Roman"/>
          <w:sz w:val="22"/>
          <w:szCs w:val="22"/>
        </w:rPr>
      </w:pPr>
      <w:r w:rsidRPr="00214C3A">
        <w:rPr>
          <w:rFonts w:eastAsia="Times New Roman"/>
          <w:sz w:val="22"/>
          <w:szCs w:val="22"/>
        </w:rPr>
        <w:t xml:space="preserve">Get a transcript copy on behalf of your client via the </w:t>
      </w:r>
      <w:hyperlink r:id="rId35" w:history="1">
        <w:r w:rsidRPr="00214C3A">
          <w:rPr>
            <w:rStyle w:val="Hyperlink"/>
            <w:color w:val="auto"/>
            <w:sz w:val="22"/>
            <w:szCs w:val="22"/>
          </w:rPr>
          <w:t>Transcript Delivery System (TDS)</w:t>
        </w:r>
      </w:hyperlink>
      <w:r w:rsidRPr="00214C3A">
        <w:rPr>
          <w:rStyle w:val="Hyperlink"/>
          <w:color w:val="auto"/>
          <w:sz w:val="22"/>
          <w:szCs w:val="22"/>
        </w:rPr>
        <w:t xml:space="preserve">. </w:t>
      </w:r>
      <w:r w:rsidRPr="00214C3A">
        <w:rPr>
          <w:rFonts w:eastAsia="Times New Roman"/>
          <w:sz w:val="22"/>
          <w:szCs w:val="22"/>
        </w:rPr>
        <w:t>You can use TDS to view your client's return and account information quickly, in a secure online session.</w:t>
      </w:r>
      <w:r w:rsidRPr="00214C3A">
        <w:rPr>
          <w:sz w:val="22"/>
          <w:szCs w:val="22"/>
        </w:rPr>
        <w:t xml:space="preserve"> </w:t>
      </w:r>
    </w:p>
    <w:p w14:paraId="67C3D0AA" w14:textId="77777777" w:rsidR="006D3E74" w:rsidRPr="00214C3A" w:rsidRDefault="006D3E74" w:rsidP="006D3E74">
      <w:pPr>
        <w:pStyle w:val="ListParagraph"/>
        <w:numPr>
          <w:ilvl w:val="0"/>
          <w:numId w:val="1"/>
        </w:numPr>
        <w:shd w:val="clear" w:color="auto" w:fill="FFFFFF"/>
        <w:spacing w:before="300" w:after="150" w:line="240" w:lineRule="auto"/>
        <w:ind w:left="1080"/>
        <w:outlineLvl w:val="1"/>
        <w:rPr>
          <w:rFonts w:eastAsia="Times New Roman"/>
          <w:b/>
          <w:bCs/>
          <w:sz w:val="22"/>
          <w:szCs w:val="22"/>
        </w:rPr>
      </w:pPr>
      <w:r w:rsidRPr="00214C3A">
        <w:rPr>
          <w:rFonts w:eastAsia="Times New Roman"/>
          <w:sz w:val="22"/>
          <w:szCs w:val="22"/>
        </w:rPr>
        <w:t xml:space="preserve">Sign in or create an account with the </w:t>
      </w:r>
      <w:hyperlink r:id="rId36" w:history="1">
        <w:r w:rsidRPr="00214C3A">
          <w:rPr>
            <w:rStyle w:val="Hyperlink"/>
            <w:color w:val="auto"/>
            <w:sz w:val="22"/>
            <w:szCs w:val="22"/>
          </w:rPr>
          <w:t xml:space="preserve">Transcript Delivery System (TDS) </w:t>
        </w:r>
      </w:hyperlink>
      <w:r w:rsidRPr="00214C3A">
        <w:rPr>
          <w:rStyle w:val="Hyperlink"/>
          <w:color w:val="auto"/>
          <w:sz w:val="22"/>
          <w:szCs w:val="22"/>
        </w:rPr>
        <w:t xml:space="preserve"> </w:t>
      </w:r>
    </w:p>
    <w:p w14:paraId="5E2902C4" w14:textId="77777777" w:rsidR="006D3E74" w:rsidRPr="00214C3A" w:rsidRDefault="006D3E74" w:rsidP="006D3E74">
      <w:pPr>
        <w:pStyle w:val="ListParagraph"/>
        <w:numPr>
          <w:ilvl w:val="1"/>
          <w:numId w:val="1"/>
        </w:numPr>
        <w:shd w:val="clear" w:color="auto" w:fill="FFFFFF"/>
        <w:spacing w:after="150" w:line="240" w:lineRule="auto"/>
        <w:ind w:left="1800"/>
        <w:rPr>
          <w:rFonts w:eastAsia="Times New Roman"/>
          <w:sz w:val="22"/>
          <w:szCs w:val="22"/>
        </w:rPr>
      </w:pPr>
      <w:r w:rsidRPr="00214C3A">
        <w:rPr>
          <w:rFonts w:eastAsia="Times New Roman"/>
          <w:sz w:val="22"/>
          <w:szCs w:val="22"/>
        </w:rPr>
        <w:t>Note: A properly executed </w:t>
      </w:r>
      <w:hyperlink r:id="rId37" w:tooltip="About Form 2848, Power of Attorney and Declaration of Representative" w:history="1">
        <w:r w:rsidRPr="00214C3A">
          <w:rPr>
            <w:rFonts w:eastAsia="Times New Roman"/>
            <w:sz w:val="22"/>
            <w:szCs w:val="22"/>
            <w:u w:val="single"/>
          </w:rPr>
          <w:t>Form 2848, Power of Attorney</w:t>
        </w:r>
      </w:hyperlink>
      <w:r w:rsidRPr="00214C3A">
        <w:rPr>
          <w:rFonts w:eastAsia="Times New Roman"/>
          <w:sz w:val="22"/>
          <w:szCs w:val="22"/>
        </w:rPr>
        <w:t> or </w:t>
      </w:r>
      <w:hyperlink r:id="rId38" w:tooltip="Instructions for Form 8821 (09/2021) " w:history="1">
        <w:r w:rsidRPr="00214C3A">
          <w:rPr>
            <w:rFonts w:eastAsia="Times New Roman"/>
            <w:sz w:val="22"/>
            <w:szCs w:val="22"/>
            <w:u w:val="single"/>
          </w:rPr>
          <w:t>Form 8821, Tax Information Authorization</w:t>
        </w:r>
      </w:hyperlink>
      <w:r w:rsidRPr="00214C3A">
        <w:rPr>
          <w:rFonts w:eastAsia="Times New Roman"/>
          <w:sz w:val="22"/>
          <w:szCs w:val="22"/>
        </w:rPr>
        <w:t> must be on file with the IRS to access you</w:t>
      </w:r>
      <w:r w:rsidR="00BF491D" w:rsidRPr="00214C3A">
        <w:rPr>
          <w:rFonts w:eastAsia="Times New Roman"/>
          <w:sz w:val="22"/>
          <w:szCs w:val="22"/>
        </w:rPr>
        <w:t>r</w:t>
      </w:r>
      <w:r w:rsidRPr="00214C3A">
        <w:rPr>
          <w:rFonts w:eastAsia="Times New Roman"/>
          <w:sz w:val="22"/>
          <w:szCs w:val="22"/>
        </w:rPr>
        <w:t xml:space="preserve"> client’s information. </w:t>
      </w:r>
    </w:p>
    <w:p w14:paraId="665C0074" w14:textId="77777777" w:rsidR="006D3E74" w:rsidRPr="00214C3A" w:rsidRDefault="006D3E74" w:rsidP="006D3E74">
      <w:pPr>
        <w:pStyle w:val="ListParagraph"/>
        <w:numPr>
          <w:ilvl w:val="0"/>
          <w:numId w:val="1"/>
        </w:numPr>
        <w:shd w:val="clear" w:color="auto" w:fill="FFFFFF"/>
        <w:spacing w:after="150" w:line="240" w:lineRule="auto"/>
        <w:ind w:left="1080"/>
        <w:rPr>
          <w:rFonts w:eastAsia="Times New Roman"/>
          <w:sz w:val="22"/>
          <w:szCs w:val="22"/>
        </w:rPr>
      </w:pPr>
      <w:r w:rsidRPr="00214C3A">
        <w:rPr>
          <w:sz w:val="22"/>
          <w:szCs w:val="22"/>
        </w:rPr>
        <w:t>For more information</w:t>
      </w:r>
      <w:r w:rsidR="00BF491D" w:rsidRPr="00214C3A">
        <w:rPr>
          <w:sz w:val="22"/>
          <w:szCs w:val="22"/>
        </w:rPr>
        <w:t>,</w:t>
      </w:r>
      <w:r w:rsidRPr="00214C3A">
        <w:rPr>
          <w:sz w:val="22"/>
          <w:szCs w:val="22"/>
        </w:rPr>
        <w:t xml:space="preserve"> watch the video </w:t>
      </w:r>
      <w:hyperlink r:id="rId39" w:history="1">
        <w:r w:rsidRPr="00214C3A">
          <w:rPr>
            <w:rStyle w:val="Hyperlink"/>
            <w:color w:val="auto"/>
            <w:sz w:val="22"/>
            <w:szCs w:val="22"/>
          </w:rPr>
          <w:t xml:space="preserve">Understanding the e-Services Transcript Delivery System </w:t>
        </w:r>
      </w:hyperlink>
      <w:r w:rsidRPr="00214C3A">
        <w:rPr>
          <w:rStyle w:val="Hyperlink"/>
          <w:color w:val="auto"/>
          <w:sz w:val="22"/>
          <w:szCs w:val="22"/>
        </w:rPr>
        <w:t xml:space="preserve"> </w:t>
      </w:r>
    </w:p>
    <w:p w14:paraId="728A4784" w14:textId="77777777" w:rsidR="006D3E74" w:rsidRPr="00214C3A" w:rsidRDefault="006D3E74" w:rsidP="006D3E74">
      <w:pPr>
        <w:pStyle w:val="NormalWeb"/>
        <w:shd w:val="clear" w:color="auto" w:fill="FFFFFF"/>
        <w:spacing w:before="0" w:beforeAutospacing="0" w:after="150" w:afterAutospacing="0"/>
        <w:contextualSpacing/>
        <w:rPr>
          <w:rFonts w:ascii="Arial" w:hAnsi="Arial" w:cs="Arial"/>
          <w:b/>
          <w:bCs/>
          <w:sz w:val="22"/>
          <w:szCs w:val="22"/>
        </w:rPr>
      </w:pPr>
      <w:r w:rsidRPr="00214C3A">
        <w:rPr>
          <w:rFonts w:ascii="Arial" w:hAnsi="Arial" w:cs="Arial"/>
          <w:b/>
          <w:bCs/>
          <w:sz w:val="22"/>
          <w:szCs w:val="22"/>
        </w:rPr>
        <w:t xml:space="preserve">Inflation Reduction Act of 2022 – Clean Energy Credits </w:t>
      </w:r>
    </w:p>
    <w:p w14:paraId="3DE689F1" w14:textId="77777777" w:rsidR="006D3E74" w:rsidRPr="00214C3A" w:rsidRDefault="006D3E74" w:rsidP="006D3E74">
      <w:pPr>
        <w:pStyle w:val="NormalWeb"/>
        <w:shd w:val="clear" w:color="auto" w:fill="FFFFFF"/>
        <w:spacing w:before="0" w:beforeAutospacing="0" w:after="150" w:afterAutospacing="0"/>
        <w:contextualSpacing/>
        <w:rPr>
          <w:rFonts w:ascii="Arial" w:hAnsi="Arial" w:cs="Arial"/>
          <w:b/>
          <w:bCs/>
          <w:sz w:val="22"/>
          <w:szCs w:val="22"/>
        </w:rPr>
      </w:pPr>
    </w:p>
    <w:p w14:paraId="5046A71C" w14:textId="77777777" w:rsidR="00C504DC" w:rsidRPr="00214C3A" w:rsidRDefault="00C504DC" w:rsidP="00C504DC">
      <w:pPr>
        <w:pStyle w:val="NormalWeb"/>
        <w:numPr>
          <w:ilvl w:val="0"/>
          <w:numId w:val="11"/>
        </w:numPr>
        <w:shd w:val="clear" w:color="auto" w:fill="FFFFFF"/>
        <w:spacing w:before="0" w:beforeAutospacing="0" w:after="150" w:afterAutospacing="0"/>
        <w:contextualSpacing/>
        <w:rPr>
          <w:rFonts w:ascii="Arial" w:hAnsi="Arial" w:cs="Arial"/>
          <w:b/>
          <w:bCs/>
          <w:sz w:val="22"/>
          <w:szCs w:val="22"/>
        </w:rPr>
      </w:pPr>
      <w:r w:rsidRPr="00214C3A">
        <w:rPr>
          <w:rFonts w:ascii="Arial" w:hAnsi="Arial" w:cs="Arial"/>
          <w:sz w:val="22"/>
          <w:szCs w:val="22"/>
        </w:rPr>
        <w:t>Frequently Asked Questions were published offering a </w:t>
      </w:r>
      <w:hyperlink r:id="rId40" w:history="1">
        <w:r w:rsidRPr="00214C3A">
          <w:rPr>
            <w:rStyle w:val="Hyperlink"/>
            <w:rFonts w:ascii="Arial" w:hAnsi="Arial" w:cs="Arial"/>
            <w:color w:val="auto"/>
            <w:sz w:val="22"/>
            <w:szCs w:val="22"/>
          </w:rPr>
          <w:t>general overview</w:t>
        </w:r>
      </w:hyperlink>
      <w:r w:rsidRPr="00214C3A">
        <w:rPr>
          <w:rFonts w:ascii="Arial" w:hAnsi="Arial" w:cs="Arial"/>
          <w:sz w:val="22"/>
          <w:szCs w:val="22"/>
        </w:rPr>
        <w:t>, and specific questions addressing </w:t>
      </w:r>
      <w:hyperlink r:id="rId41" w:tooltip="Elective Pay and Transferability Frequently Asked Questions: Elective Pay" w:history="1">
        <w:r w:rsidRPr="00214C3A">
          <w:rPr>
            <w:rStyle w:val="Hyperlink"/>
            <w:rFonts w:ascii="Arial" w:hAnsi="Arial" w:cs="Arial"/>
            <w:color w:val="auto"/>
            <w:sz w:val="22"/>
            <w:szCs w:val="22"/>
          </w:rPr>
          <w:t>Elective Pay</w:t>
        </w:r>
      </w:hyperlink>
      <w:r w:rsidRPr="00214C3A">
        <w:rPr>
          <w:rFonts w:ascii="Arial" w:hAnsi="Arial" w:cs="Arial"/>
          <w:sz w:val="22"/>
          <w:szCs w:val="22"/>
        </w:rPr>
        <w:t> and </w:t>
      </w:r>
      <w:hyperlink r:id="rId42" w:tooltip="Elective Pay and Transferability Frequently Asked Questions: Transferability" w:history="1">
        <w:r w:rsidRPr="00214C3A">
          <w:rPr>
            <w:rStyle w:val="Hyperlink"/>
            <w:rFonts w:ascii="Arial" w:hAnsi="Arial" w:cs="Arial"/>
            <w:color w:val="auto"/>
            <w:sz w:val="22"/>
            <w:szCs w:val="22"/>
          </w:rPr>
          <w:t>Transferability</w:t>
        </w:r>
      </w:hyperlink>
      <w:r w:rsidRPr="00214C3A">
        <w:rPr>
          <w:rFonts w:ascii="Arial" w:hAnsi="Arial" w:cs="Arial"/>
          <w:sz w:val="22"/>
          <w:szCs w:val="22"/>
        </w:rPr>
        <w:t xml:space="preserve"> related to the clean energy credits under the Inflation Reduction Act of 2022.</w:t>
      </w:r>
    </w:p>
    <w:p w14:paraId="4185BEBB" w14:textId="77777777" w:rsidR="006D3E74" w:rsidRPr="00214C3A" w:rsidRDefault="006D3E74" w:rsidP="006D3E74">
      <w:pPr>
        <w:pStyle w:val="ListParagraph"/>
        <w:numPr>
          <w:ilvl w:val="0"/>
          <w:numId w:val="11"/>
        </w:numPr>
        <w:shd w:val="clear" w:color="auto" w:fill="FFFFFF"/>
        <w:spacing w:after="150" w:line="240" w:lineRule="auto"/>
        <w:rPr>
          <w:rFonts w:eastAsia="Times New Roman"/>
          <w:sz w:val="22"/>
          <w:szCs w:val="22"/>
        </w:rPr>
      </w:pPr>
      <w:r w:rsidRPr="00214C3A">
        <w:rPr>
          <w:rFonts w:eastAsia="Times New Roman"/>
          <w:sz w:val="22"/>
          <w:szCs w:val="22"/>
        </w:rPr>
        <w:t xml:space="preserve">The IRS’s </w:t>
      </w:r>
      <w:hyperlink r:id="rId43" w:history="1">
        <w:r w:rsidRPr="00214C3A">
          <w:rPr>
            <w:rFonts w:eastAsia="Times New Roman"/>
            <w:sz w:val="22"/>
            <w:szCs w:val="22"/>
            <w:u w:val="single"/>
          </w:rPr>
          <w:t>Energy Credit Online tool</w:t>
        </w:r>
      </w:hyperlink>
      <w:r w:rsidRPr="00214C3A">
        <w:rPr>
          <w:rFonts w:eastAsia="Times New Roman"/>
          <w:sz w:val="22"/>
          <w:szCs w:val="22"/>
        </w:rPr>
        <w:t xml:space="preserve"> now allows dealers and sellers of clean vehicles to complete the entire process online and receive advance payments within 72 hours. The tool will generate a Time of Sale report that the taxpayer will use when filing their tax return to claim or report the credit.</w:t>
      </w:r>
      <w:r w:rsidRPr="00214C3A">
        <w:rPr>
          <w:b/>
          <w:bCs/>
          <w:sz w:val="22"/>
          <w:szCs w:val="22"/>
        </w:rPr>
        <w:t xml:space="preserve"> </w:t>
      </w:r>
    </w:p>
    <w:p w14:paraId="42F2D271" w14:textId="77777777" w:rsidR="00C504DC" w:rsidRPr="00214C3A" w:rsidRDefault="006D3E74" w:rsidP="00C504DC">
      <w:pPr>
        <w:pStyle w:val="NormalWeb"/>
        <w:numPr>
          <w:ilvl w:val="0"/>
          <w:numId w:val="11"/>
        </w:numPr>
        <w:shd w:val="clear" w:color="auto" w:fill="FFFFFF"/>
        <w:spacing w:before="0" w:beforeAutospacing="0" w:after="0" w:afterAutospacing="0"/>
        <w:rPr>
          <w:rFonts w:ascii="Arial" w:hAnsi="Arial" w:cs="Arial"/>
          <w:sz w:val="22"/>
          <w:szCs w:val="22"/>
        </w:rPr>
      </w:pPr>
      <w:r w:rsidRPr="00214C3A">
        <w:rPr>
          <w:rFonts w:ascii="Arial" w:hAnsi="Arial" w:cs="Arial"/>
          <w:sz w:val="22"/>
          <w:szCs w:val="22"/>
        </w:rPr>
        <w:t>A </w:t>
      </w:r>
      <w:hyperlink r:id="rId44" w:history="1">
        <w:r w:rsidRPr="00214C3A">
          <w:rPr>
            <w:rStyle w:val="Hyperlink"/>
            <w:rFonts w:ascii="Arial" w:hAnsi="Arial" w:cs="Arial"/>
            <w:color w:val="auto"/>
            <w:sz w:val="22"/>
            <w:szCs w:val="22"/>
          </w:rPr>
          <w:t>fact sheet</w:t>
        </w:r>
      </w:hyperlink>
      <w:r w:rsidRPr="00214C3A">
        <w:rPr>
          <w:rFonts w:ascii="Arial" w:hAnsi="Arial" w:cs="Arial"/>
          <w:sz w:val="22"/>
          <w:szCs w:val="22"/>
        </w:rPr>
        <w:t xml:space="preserve"> on elective pay and transferability for Indian tribal governments is now available. </w:t>
      </w:r>
      <w:r w:rsidRPr="00214C3A">
        <w:rPr>
          <w:rFonts w:ascii="Arial" w:hAnsi="Arial" w:cs="Arial"/>
          <w:sz w:val="22"/>
          <w:szCs w:val="22"/>
        </w:rPr>
        <w:br/>
      </w:r>
    </w:p>
    <w:p w14:paraId="78800FF7" w14:textId="77777777" w:rsidR="006D3E74" w:rsidRPr="00214C3A" w:rsidRDefault="00C504DC" w:rsidP="00C504DC">
      <w:pPr>
        <w:pStyle w:val="NormalWeb"/>
        <w:numPr>
          <w:ilvl w:val="0"/>
          <w:numId w:val="11"/>
        </w:numPr>
        <w:shd w:val="clear" w:color="auto" w:fill="FFFFFF"/>
        <w:spacing w:before="0" w:beforeAutospacing="0" w:after="0" w:afterAutospacing="0"/>
        <w:rPr>
          <w:rFonts w:ascii="Arial" w:hAnsi="Arial" w:cs="Arial"/>
          <w:sz w:val="22"/>
          <w:szCs w:val="22"/>
        </w:rPr>
      </w:pPr>
      <w:r w:rsidRPr="00214C3A">
        <w:rPr>
          <w:rFonts w:ascii="Arial" w:hAnsi="Arial" w:cs="Arial"/>
          <w:sz w:val="22"/>
          <w:szCs w:val="22"/>
        </w:rPr>
        <w:t xml:space="preserve">For more information, watch the video: </w:t>
      </w:r>
      <w:hyperlink r:id="rId45" w:history="1">
        <w:r w:rsidR="006D3E74" w:rsidRPr="00214C3A">
          <w:rPr>
            <w:rFonts w:ascii="Arial" w:hAnsi="Arial" w:cs="Arial"/>
            <w:sz w:val="22"/>
            <w:szCs w:val="22"/>
            <w:u w:val="single"/>
          </w:rPr>
          <w:t>How Dealers and Sellers Register for Energy Credits Online</w:t>
        </w:r>
        <w:r w:rsidR="0037060B" w:rsidRPr="00214C3A">
          <w:rPr>
            <w:rFonts w:ascii="Arial" w:hAnsi="Arial" w:cs="Arial"/>
            <w:sz w:val="22"/>
            <w:szCs w:val="22"/>
            <w:u w:val="single"/>
          </w:rPr>
          <w:t>.</w:t>
        </w:r>
        <w:r w:rsidR="006D3E74" w:rsidRPr="00214C3A">
          <w:rPr>
            <w:rFonts w:ascii="Arial" w:hAnsi="Arial" w:cs="Arial"/>
            <w:sz w:val="22"/>
            <w:szCs w:val="22"/>
            <w:u w:val="single"/>
          </w:rPr>
          <w:t xml:space="preserve"> </w:t>
        </w:r>
      </w:hyperlink>
      <w:r w:rsidR="006D3E74" w:rsidRPr="00214C3A">
        <w:rPr>
          <w:rFonts w:ascii="Arial" w:hAnsi="Arial" w:cs="Arial"/>
          <w:sz w:val="22"/>
          <w:szCs w:val="22"/>
          <w:u w:val="single"/>
        </w:rPr>
        <w:t xml:space="preserve"> </w:t>
      </w:r>
    </w:p>
    <w:p w14:paraId="63F16B8B" w14:textId="77777777" w:rsidR="006D3E74" w:rsidRPr="00214C3A" w:rsidRDefault="006D3E74" w:rsidP="006D3E74">
      <w:pPr>
        <w:contextualSpacing/>
        <w:rPr>
          <w:sz w:val="22"/>
          <w:szCs w:val="22"/>
        </w:rPr>
      </w:pPr>
    </w:p>
    <w:p w14:paraId="3FB7943B" w14:textId="77777777" w:rsidR="00BF5961" w:rsidRPr="00214C3A" w:rsidRDefault="00BF5961" w:rsidP="00BF5961">
      <w:pPr>
        <w:rPr>
          <w:sz w:val="22"/>
          <w:szCs w:val="22"/>
        </w:rPr>
      </w:pPr>
      <w:r w:rsidRPr="00214C3A">
        <w:rPr>
          <w:sz w:val="22"/>
          <w:szCs w:val="22"/>
        </w:rPr>
        <w:t>Stay informed, utilize the available tools, and provide the best service to your clients.</w:t>
      </w:r>
      <w:r w:rsidR="00263D46" w:rsidRPr="00214C3A">
        <w:rPr>
          <w:sz w:val="22"/>
          <w:szCs w:val="22"/>
        </w:rPr>
        <w:t xml:space="preserve"> Make sure </w:t>
      </w:r>
      <w:r w:rsidR="00694ECD" w:rsidRPr="00214C3A">
        <w:rPr>
          <w:sz w:val="22"/>
          <w:szCs w:val="22"/>
        </w:rPr>
        <w:t xml:space="preserve">to </w:t>
      </w:r>
      <w:hyperlink r:id="rId46" w:history="1">
        <w:r w:rsidR="00694ECD" w:rsidRPr="00214C3A">
          <w:rPr>
            <w:rStyle w:val="Hyperlink"/>
            <w:color w:val="auto"/>
            <w:sz w:val="22"/>
            <w:szCs w:val="22"/>
          </w:rPr>
          <w:t>visit the TAS website</w:t>
        </w:r>
      </w:hyperlink>
      <w:r w:rsidR="00694ECD" w:rsidRPr="00214C3A">
        <w:rPr>
          <w:sz w:val="22"/>
          <w:szCs w:val="22"/>
        </w:rPr>
        <w:t xml:space="preserve"> frequently, and </w:t>
      </w:r>
      <w:hyperlink r:id="rId47" w:history="1">
        <w:r w:rsidR="00694ECD" w:rsidRPr="00214C3A">
          <w:rPr>
            <w:rStyle w:val="Hyperlink"/>
            <w:color w:val="auto"/>
            <w:sz w:val="22"/>
            <w:szCs w:val="22"/>
          </w:rPr>
          <w:t>follow us on social media</w:t>
        </w:r>
      </w:hyperlink>
      <w:r w:rsidR="00263D46" w:rsidRPr="00214C3A">
        <w:rPr>
          <w:sz w:val="22"/>
          <w:szCs w:val="22"/>
        </w:rPr>
        <w:t xml:space="preserve"> for updated blogs, tax tips, and other helpful resources to make your filing season easie</w:t>
      </w:r>
      <w:r w:rsidR="00694ECD" w:rsidRPr="00214C3A">
        <w:rPr>
          <w:sz w:val="22"/>
          <w:szCs w:val="22"/>
        </w:rPr>
        <w:t xml:space="preserve">r. </w:t>
      </w:r>
    </w:p>
    <w:p w14:paraId="00BE6205" w14:textId="77777777" w:rsidR="00BF5961" w:rsidRPr="00214C3A" w:rsidRDefault="00BF5961" w:rsidP="00BF5961">
      <w:pPr>
        <w:rPr>
          <w:sz w:val="22"/>
          <w:szCs w:val="22"/>
        </w:rPr>
      </w:pPr>
    </w:p>
    <w:p w14:paraId="22C31157" w14:textId="77777777" w:rsidR="005C14B9" w:rsidRPr="00214C3A" w:rsidRDefault="005C14B9" w:rsidP="005C14B9">
      <w:pPr>
        <w:pStyle w:val="Heading3"/>
        <w:spacing w:before="0" w:beforeAutospacing="0" w:after="0" w:afterAutospacing="0" w:line="288" w:lineRule="atLeast"/>
        <w:textAlignment w:val="baseline"/>
        <w:rPr>
          <w:rFonts w:ascii="Arial" w:hAnsi="Arial" w:cs="Arial"/>
          <w:b w:val="0"/>
          <w:bCs w:val="0"/>
          <w:spacing w:val="-3"/>
          <w:sz w:val="22"/>
          <w:szCs w:val="22"/>
        </w:rPr>
      </w:pPr>
      <w:r w:rsidRPr="00214C3A">
        <w:rPr>
          <w:rFonts w:ascii="Arial" w:hAnsi="Arial" w:cs="Arial"/>
          <w:b w:val="0"/>
          <w:bCs w:val="0"/>
          <w:spacing w:val="-3"/>
          <w:sz w:val="22"/>
          <w:szCs w:val="22"/>
          <w:bdr w:val="none" w:sz="0" w:space="0" w:color="auto" w:frame="1"/>
        </w:rPr>
        <w:t>Additional Resources </w:t>
      </w:r>
    </w:p>
    <w:p w14:paraId="307D00F0" w14:textId="77777777" w:rsidR="005C14B9" w:rsidRPr="00214C3A" w:rsidRDefault="00000000" w:rsidP="005C14B9">
      <w:pPr>
        <w:numPr>
          <w:ilvl w:val="0"/>
          <w:numId w:val="10"/>
        </w:numPr>
        <w:spacing w:after="0" w:line="240" w:lineRule="auto"/>
        <w:textAlignment w:val="baseline"/>
        <w:rPr>
          <w:sz w:val="22"/>
          <w:szCs w:val="22"/>
        </w:rPr>
      </w:pPr>
      <w:hyperlink r:id="rId48" w:tgtFrame="_blank" w:history="1">
        <w:r w:rsidR="005C14B9" w:rsidRPr="00214C3A">
          <w:rPr>
            <w:rStyle w:val="Hyperlink"/>
            <w:color w:val="auto"/>
            <w:sz w:val="22"/>
            <w:szCs w:val="22"/>
            <w:bdr w:val="none" w:sz="0" w:space="0" w:color="auto" w:frame="1"/>
          </w:rPr>
          <w:t>Employee Retention Credit | Internal Revenue Service (irs.gov)</w:t>
        </w:r>
      </w:hyperlink>
      <w:r w:rsidR="005C14B9" w:rsidRPr="00214C3A">
        <w:rPr>
          <w:sz w:val="22"/>
          <w:szCs w:val="22"/>
          <w:bdr w:val="none" w:sz="0" w:space="0" w:color="auto" w:frame="1"/>
        </w:rPr>
        <w:t> </w:t>
      </w:r>
    </w:p>
    <w:p w14:paraId="4699BD5C" w14:textId="77777777" w:rsidR="005C14B9" w:rsidRPr="00214C3A" w:rsidRDefault="00000000" w:rsidP="005C14B9">
      <w:pPr>
        <w:numPr>
          <w:ilvl w:val="0"/>
          <w:numId w:val="10"/>
        </w:numPr>
        <w:spacing w:after="0" w:line="240" w:lineRule="auto"/>
        <w:textAlignment w:val="baseline"/>
        <w:rPr>
          <w:sz w:val="22"/>
          <w:szCs w:val="22"/>
        </w:rPr>
      </w:pPr>
      <w:hyperlink r:id="rId49" w:tgtFrame="_blank" w:history="1">
        <w:r w:rsidR="005C14B9" w:rsidRPr="00214C3A">
          <w:rPr>
            <w:rStyle w:val="Hyperlink"/>
            <w:color w:val="auto"/>
            <w:sz w:val="22"/>
            <w:szCs w:val="22"/>
            <w:bdr w:val="none" w:sz="0" w:space="0" w:color="auto" w:frame="1"/>
          </w:rPr>
          <w:t>Employee Retention Credit Eligibility Checklist: Help understanding this complex credit | Internal Revenue Service (irs.gov)</w:t>
        </w:r>
      </w:hyperlink>
      <w:r w:rsidR="005C14B9" w:rsidRPr="00214C3A">
        <w:rPr>
          <w:sz w:val="22"/>
          <w:szCs w:val="22"/>
          <w:bdr w:val="none" w:sz="0" w:space="0" w:color="auto" w:frame="1"/>
        </w:rPr>
        <w:t> </w:t>
      </w:r>
    </w:p>
    <w:p w14:paraId="13023D2A" w14:textId="77777777" w:rsidR="005C14B9" w:rsidRPr="00214C3A" w:rsidRDefault="00000000" w:rsidP="005C14B9">
      <w:pPr>
        <w:numPr>
          <w:ilvl w:val="0"/>
          <w:numId w:val="10"/>
        </w:numPr>
        <w:spacing w:after="0" w:line="240" w:lineRule="auto"/>
        <w:textAlignment w:val="baseline"/>
        <w:rPr>
          <w:sz w:val="22"/>
          <w:szCs w:val="22"/>
        </w:rPr>
      </w:pPr>
      <w:hyperlink r:id="rId50" w:tgtFrame="_blank" w:history="1">
        <w:r w:rsidR="005C14B9" w:rsidRPr="00214C3A">
          <w:rPr>
            <w:rStyle w:val="Hyperlink"/>
            <w:color w:val="auto"/>
            <w:sz w:val="22"/>
            <w:szCs w:val="22"/>
            <w:bdr w:val="none" w:sz="0" w:space="0" w:color="auto" w:frame="1"/>
          </w:rPr>
          <w:t>Frequently asked questions (FAQs)</w:t>
        </w:r>
      </w:hyperlink>
      <w:r w:rsidR="005C14B9" w:rsidRPr="00214C3A">
        <w:rPr>
          <w:sz w:val="22"/>
          <w:szCs w:val="22"/>
          <w:bdr w:val="none" w:sz="0" w:space="0" w:color="auto" w:frame="1"/>
        </w:rPr>
        <w:t> </w:t>
      </w:r>
      <w:r w:rsidR="005C14B9" w:rsidRPr="00214C3A">
        <w:rPr>
          <w:sz w:val="22"/>
          <w:szCs w:val="22"/>
        </w:rPr>
        <w:t> </w:t>
      </w:r>
      <w:r w:rsidR="005C14B9" w:rsidRPr="00214C3A">
        <w:rPr>
          <w:sz w:val="22"/>
          <w:szCs w:val="22"/>
          <w:bdr w:val="none" w:sz="0" w:space="0" w:color="auto" w:frame="1"/>
        </w:rPr>
        <w:t> </w:t>
      </w:r>
    </w:p>
    <w:p w14:paraId="57F14208" w14:textId="77777777" w:rsidR="005C14B9" w:rsidRPr="00214C3A" w:rsidRDefault="00000000" w:rsidP="005C14B9">
      <w:pPr>
        <w:numPr>
          <w:ilvl w:val="0"/>
          <w:numId w:val="10"/>
        </w:numPr>
        <w:spacing w:after="0" w:line="240" w:lineRule="auto"/>
        <w:textAlignment w:val="baseline"/>
        <w:rPr>
          <w:sz w:val="22"/>
          <w:szCs w:val="22"/>
        </w:rPr>
      </w:pPr>
      <w:hyperlink r:id="rId51" w:tgtFrame="_blank" w:history="1">
        <w:r w:rsidR="005C14B9" w:rsidRPr="00214C3A">
          <w:rPr>
            <w:rStyle w:val="Hyperlink"/>
            <w:color w:val="auto"/>
            <w:sz w:val="22"/>
            <w:szCs w:val="22"/>
            <w:bdr w:val="none" w:sz="0" w:space="0" w:color="auto" w:frame="1"/>
          </w:rPr>
          <w:t>IRS Operations: Status of Mission-Critical Function</w:t>
        </w:r>
      </w:hyperlink>
    </w:p>
    <w:p w14:paraId="5D7F1B93" w14:textId="77777777" w:rsidR="005C14B9" w:rsidRPr="00214C3A" w:rsidRDefault="005C14B9" w:rsidP="00BF5961">
      <w:pPr>
        <w:rPr>
          <w:sz w:val="22"/>
          <w:szCs w:val="22"/>
        </w:rPr>
      </w:pPr>
    </w:p>
    <w:sectPr w:rsidR="005C14B9" w:rsidRPr="00214C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8888" w14:textId="77777777" w:rsidR="00224D99" w:rsidRDefault="00224D99" w:rsidP="006211D8">
      <w:pPr>
        <w:spacing w:after="0" w:line="240" w:lineRule="auto"/>
      </w:pPr>
      <w:r>
        <w:separator/>
      </w:r>
    </w:p>
  </w:endnote>
  <w:endnote w:type="continuationSeparator" w:id="0">
    <w:p w14:paraId="639D49BD" w14:textId="77777777" w:rsidR="00224D99" w:rsidRDefault="00224D99" w:rsidP="0062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21F9" w14:textId="77777777" w:rsidR="00224D99" w:rsidRDefault="00224D99" w:rsidP="006211D8">
      <w:pPr>
        <w:spacing w:after="0" w:line="240" w:lineRule="auto"/>
      </w:pPr>
      <w:r>
        <w:separator/>
      </w:r>
    </w:p>
  </w:footnote>
  <w:footnote w:type="continuationSeparator" w:id="0">
    <w:p w14:paraId="2B33C3B8" w14:textId="77777777" w:rsidR="00224D99" w:rsidRDefault="00224D99" w:rsidP="00621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5271"/>
    <w:multiLevelType w:val="multilevel"/>
    <w:tmpl w:val="12E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F539B"/>
    <w:multiLevelType w:val="hybridMultilevel"/>
    <w:tmpl w:val="12465AC6"/>
    <w:lvl w:ilvl="0" w:tplc="F04AF4A8">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B619C"/>
    <w:multiLevelType w:val="multilevel"/>
    <w:tmpl w:val="D1D2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5406A"/>
    <w:multiLevelType w:val="multilevel"/>
    <w:tmpl w:val="B10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23452"/>
    <w:multiLevelType w:val="multilevel"/>
    <w:tmpl w:val="E3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76D34"/>
    <w:multiLevelType w:val="hybridMultilevel"/>
    <w:tmpl w:val="404C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A5B83"/>
    <w:multiLevelType w:val="multilevel"/>
    <w:tmpl w:val="F5F2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C1ECC"/>
    <w:multiLevelType w:val="hybridMultilevel"/>
    <w:tmpl w:val="8A44D13C"/>
    <w:lvl w:ilvl="0" w:tplc="991EC346">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57A03F9"/>
    <w:multiLevelType w:val="hybridMultilevel"/>
    <w:tmpl w:val="175A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30A40"/>
    <w:multiLevelType w:val="hybridMultilevel"/>
    <w:tmpl w:val="C9BEF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20C4C"/>
    <w:multiLevelType w:val="hybridMultilevel"/>
    <w:tmpl w:val="F3A2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B422B"/>
    <w:multiLevelType w:val="multilevel"/>
    <w:tmpl w:val="5FF80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7B4872"/>
    <w:multiLevelType w:val="multilevel"/>
    <w:tmpl w:val="1ACA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9520827">
    <w:abstractNumId w:val="8"/>
  </w:num>
  <w:num w:numId="2" w16cid:durableId="1707215870">
    <w:abstractNumId w:val="9"/>
  </w:num>
  <w:num w:numId="3" w16cid:durableId="1475101445">
    <w:abstractNumId w:val="11"/>
  </w:num>
  <w:num w:numId="4" w16cid:durableId="306324193">
    <w:abstractNumId w:val="6"/>
  </w:num>
  <w:num w:numId="5" w16cid:durableId="1191533660">
    <w:abstractNumId w:val="3"/>
  </w:num>
  <w:num w:numId="6" w16cid:durableId="1898711097">
    <w:abstractNumId w:val="12"/>
  </w:num>
  <w:num w:numId="7" w16cid:durableId="590117035">
    <w:abstractNumId w:val="0"/>
  </w:num>
  <w:num w:numId="8" w16cid:durableId="2069843341">
    <w:abstractNumId w:val="2"/>
  </w:num>
  <w:num w:numId="9" w16cid:durableId="103044529">
    <w:abstractNumId w:val="5"/>
  </w:num>
  <w:num w:numId="10" w16cid:durableId="2022930141">
    <w:abstractNumId w:val="4"/>
  </w:num>
  <w:num w:numId="11" w16cid:durableId="1698581560">
    <w:abstractNumId w:val="1"/>
  </w:num>
  <w:num w:numId="12" w16cid:durableId="1245334608">
    <w:abstractNumId w:val="7"/>
  </w:num>
  <w:num w:numId="13" w16cid:durableId="802429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B7"/>
    <w:rsid w:val="000A326C"/>
    <w:rsid w:val="000A6D8D"/>
    <w:rsid w:val="00124EFC"/>
    <w:rsid w:val="00150753"/>
    <w:rsid w:val="00167093"/>
    <w:rsid w:val="001870B7"/>
    <w:rsid w:val="001D67F5"/>
    <w:rsid w:val="00207EB7"/>
    <w:rsid w:val="00214C3A"/>
    <w:rsid w:val="00224D99"/>
    <w:rsid w:val="00263D46"/>
    <w:rsid w:val="002C36FE"/>
    <w:rsid w:val="002D729B"/>
    <w:rsid w:val="002F1B6A"/>
    <w:rsid w:val="00303B71"/>
    <w:rsid w:val="003069A5"/>
    <w:rsid w:val="00345439"/>
    <w:rsid w:val="0037060B"/>
    <w:rsid w:val="003C35F0"/>
    <w:rsid w:val="003D207F"/>
    <w:rsid w:val="003E6ABB"/>
    <w:rsid w:val="00401383"/>
    <w:rsid w:val="00441D8A"/>
    <w:rsid w:val="00464D86"/>
    <w:rsid w:val="0046794D"/>
    <w:rsid w:val="004B0A26"/>
    <w:rsid w:val="004C492B"/>
    <w:rsid w:val="004D6174"/>
    <w:rsid w:val="004D782B"/>
    <w:rsid w:val="004E766E"/>
    <w:rsid w:val="005C14B9"/>
    <w:rsid w:val="006211D8"/>
    <w:rsid w:val="00624E54"/>
    <w:rsid w:val="006513CD"/>
    <w:rsid w:val="00685570"/>
    <w:rsid w:val="00694ECD"/>
    <w:rsid w:val="006C6957"/>
    <w:rsid w:val="006D3E74"/>
    <w:rsid w:val="0071663F"/>
    <w:rsid w:val="008304CF"/>
    <w:rsid w:val="0085209B"/>
    <w:rsid w:val="00872BCE"/>
    <w:rsid w:val="00876C56"/>
    <w:rsid w:val="008C21BC"/>
    <w:rsid w:val="00920B87"/>
    <w:rsid w:val="009C059C"/>
    <w:rsid w:val="009C26AE"/>
    <w:rsid w:val="00A16EE6"/>
    <w:rsid w:val="00AE35B9"/>
    <w:rsid w:val="00B57473"/>
    <w:rsid w:val="00BF491D"/>
    <w:rsid w:val="00BF5961"/>
    <w:rsid w:val="00C26EA2"/>
    <w:rsid w:val="00C367C8"/>
    <w:rsid w:val="00C504DC"/>
    <w:rsid w:val="00C54AE2"/>
    <w:rsid w:val="00C6115C"/>
    <w:rsid w:val="00D56A04"/>
    <w:rsid w:val="00D65734"/>
    <w:rsid w:val="00DA42A0"/>
    <w:rsid w:val="00DC44EC"/>
    <w:rsid w:val="00DD2AC6"/>
    <w:rsid w:val="00E61F93"/>
    <w:rsid w:val="00E95AE3"/>
    <w:rsid w:val="00EE68B1"/>
    <w:rsid w:val="00F02299"/>
    <w:rsid w:val="00F43A21"/>
    <w:rsid w:val="00FA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E44"/>
  <w15:chartTrackingRefBased/>
  <w15:docId w15:val="{465DA7B1-3E8B-4010-B04E-5EBA99AD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C1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F0"/>
    <w:pPr>
      <w:ind w:left="720"/>
      <w:contextualSpacing/>
    </w:pPr>
  </w:style>
  <w:style w:type="character" w:styleId="Hyperlink">
    <w:name w:val="Hyperlink"/>
    <w:basedOn w:val="DefaultParagraphFont"/>
    <w:uiPriority w:val="99"/>
    <w:unhideWhenUsed/>
    <w:rsid w:val="003C35F0"/>
    <w:rPr>
      <w:color w:val="0000FF"/>
      <w:u w:val="single"/>
    </w:rPr>
  </w:style>
  <w:style w:type="character" w:styleId="CommentReference">
    <w:name w:val="annotation reference"/>
    <w:basedOn w:val="DefaultParagraphFont"/>
    <w:uiPriority w:val="99"/>
    <w:semiHidden/>
    <w:unhideWhenUsed/>
    <w:rsid w:val="006211D8"/>
    <w:rPr>
      <w:sz w:val="16"/>
      <w:szCs w:val="16"/>
    </w:rPr>
  </w:style>
  <w:style w:type="paragraph" w:styleId="CommentText">
    <w:name w:val="annotation text"/>
    <w:basedOn w:val="Normal"/>
    <w:link w:val="CommentTextChar"/>
    <w:uiPriority w:val="99"/>
    <w:unhideWhenUsed/>
    <w:rsid w:val="006211D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6211D8"/>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6211D8"/>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211D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211D8"/>
    <w:rPr>
      <w:vertAlign w:val="superscript"/>
    </w:rPr>
  </w:style>
  <w:style w:type="paragraph" w:styleId="NormalWeb">
    <w:name w:val="Normal (Web)"/>
    <w:basedOn w:val="Normal"/>
    <w:uiPriority w:val="99"/>
    <w:unhideWhenUsed/>
    <w:rsid w:val="006211D8"/>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F5961"/>
    <w:rPr>
      <w:color w:val="605E5C"/>
      <w:shd w:val="clear" w:color="auto" w:fill="E1DFDD"/>
    </w:rPr>
  </w:style>
  <w:style w:type="character" w:styleId="FollowedHyperlink">
    <w:name w:val="FollowedHyperlink"/>
    <w:basedOn w:val="DefaultParagraphFont"/>
    <w:uiPriority w:val="99"/>
    <w:semiHidden/>
    <w:unhideWhenUsed/>
    <w:rsid w:val="00BF5961"/>
    <w:rPr>
      <w:color w:val="954F72" w:themeColor="followedHyperlink"/>
      <w:u w:val="single"/>
    </w:rPr>
  </w:style>
  <w:style w:type="character" w:styleId="Strong">
    <w:name w:val="Strong"/>
    <w:basedOn w:val="DefaultParagraphFont"/>
    <w:uiPriority w:val="22"/>
    <w:qFormat/>
    <w:rsid w:val="00BF5961"/>
    <w:rPr>
      <w:b/>
      <w:bCs/>
    </w:rPr>
  </w:style>
  <w:style w:type="paragraph" w:styleId="CommentSubject">
    <w:name w:val="annotation subject"/>
    <w:basedOn w:val="CommentText"/>
    <w:next w:val="CommentText"/>
    <w:link w:val="CommentSubjectChar"/>
    <w:uiPriority w:val="99"/>
    <w:semiHidden/>
    <w:unhideWhenUsed/>
    <w:rsid w:val="00BF5961"/>
    <w:pPr>
      <w:spacing w:after="160"/>
    </w:pPr>
    <w:rPr>
      <w:rFonts w:ascii="Arial" w:hAnsi="Arial" w:cs="Arial"/>
      <w:b/>
      <w:bCs/>
    </w:rPr>
  </w:style>
  <w:style w:type="character" w:customStyle="1" w:styleId="CommentSubjectChar">
    <w:name w:val="Comment Subject Char"/>
    <w:basedOn w:val="CommentTextChar"/>
    <w:link w:val="CommentSubject"/>
    <w:uiPriority w:val="99"/>
    <w:semiHidden/>
    <w:rsid w:val="00BF5961"/>
    <w:rPr>
      <w:rFonts w:ascii="Times New Roman" w:hAnsi="Times New Roman" w:cs="Times New Roman"/>
      <w:b/>
      <w:bCs/>
      <w:sz w:val="20"/>
      <w:szCs w:val="20"/>
    </w:rPr>
  </w:style>
  <w:style w:type="paragraph" w:styleId="Revision">
    <w:name w:val="Revision"/>
    <w:hidden/>
    <w:uiPriority w:val="99"/>
    <w:semiHidden/>
    <w:rsid w:val="00E61F93"/>
    <w:pPr>
      <w:spacing w:after="0" w:line="240" w:lineRule="auto"/>
    </w:pPr>
  </w:style>
  <w:style w:type="character" w:customStyle="1" w:styleId="Heading3Char">
    <w:name w:val="Heading 3 Char"/>
    <w:basedOn w:val="DefaultParagraphFont"/>
    <w:link w:val="Heading3"/>
    <w:uiPriority w:val="9"/>
    <w:rsid w:val="005C14B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2734">
      <w:bodyDiv w:val="1"/>
      <w:marLeft w:val="0"/>
      <w:marRight w:val="0"/>
      <w:marTop w:val="0"/>
      <w:marBottom w:val="0"/>
      <w:divBdr>
        <w:top w:val="none" w:sz="0" w:space="0" w:color="auto"/>
        <w:left w:val="none" w:sz="0" w:space="0" w:color="auto"/>
        <w:bottom w:val="none" w:sz="0" w:space="0" w:color="auto"/>
        <w:right w:val="none" w:sz="0" w:space="0" w:color="auto"/>
      </w:divBdr>
    </w:div>
    <w:div w:id="620498455">
      <w:bodyDiv w:val="1"/>
      <w:marLeft w:val="0"/>
      <w:marRight w:val="0"/>
      <w:marTop w:val="0"/>
      <w:marBottom w:val="0"/>
      <w:divBdr>
        <w:top w:val="none" w:sz="0" w:space="0" w:color="auto"/>
        <w:left w:val="none" w:sz="0" w:space="0" w:color="auto"/>
        <w:bottom w:val="none" w:sz="0" w:space="0" w:color="auto"/>
        <w:right w:val="none" w:sz="0" w:space="0" w:color="auto"/>
      </w:divBdr>
    </w:div>
    <w:div w:id="15813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xpayeradvocate.irs.gov/contact-us/upcoming-events/pre-filing-season-events/" TargetMode="External"/><Relationship Id="rId18" Type="http://schemas.openxmlformats.org/officeDocument/2006/relationships/hyperlink" Target="https://www.taxpayeradvocate.irs.gov/news/taxtips-earned-income-credit-tools-and-information/" TargetMode="External"/><Relationship Id="rId26" Type="http://schemas.openxmlformats.org/officeDocument/2006/relationships/hyperlink" Target="https://www.taxpayeradvocate.irs.gov/news/tas-tax-tip-resolving-an-improper-erc-claim/" TargetMode="External"/><Relationship Id="rId39" Type="http://schemas.openxmlformats.org/officeDocument/2006/relationships/hyperlink" Target="https://www.irsvideos.gov/Webinars/UnderstandingTheE-ServicesTranscriptDeliverySystem" TargetMode="External"/><Relationship Id="rId3" Type="http://schemas.openxmlformats.org/officeDocument/2006/relationships/settings" Target="settings.xml"/><Relationship Id="rId21" Type="http://schemas.openxmlformats.org/officeDocument/2006/relationships/hyperlink" Target="https://www.taxpayeradvocate.irs.gov/news/tas-tax-tip-dont-fall-victim-to-an-employee-retention-credit-scheme/" TargetMode="External"/><Relationship Id="rId34" Type="http://schemas.openxmlformats.org/officeDocument/2006/relationships/hyperlink" Target="https://www.irsvideos.gov/Individual/PayingTaxes/DocumentationUploadToolVideo" TargetMode="External"/><Relationship Id="rId42" Type="http://schemas.openxmlformats.org/officeDocument/2006/relationships/hyperlink" Target="https://www.irs.gov/credits-deductions/elective-pay-and-transferability-frequently-asked-questions-transferability" TargetMode="External"/><Relationship Id="rId47" Type="http://schemas.openxmlformats.org/officeDocument/2006/relationships/hyperlink" Target="https://www.taxpayeradvocate.irs.gov/contact-us/" TargetMode="External"/><Relationship Id="rId50" Type="http://schemas.openxmlformats.org/officeDocument/2006/relationships/hyperlink" Target="https://www.irs.gov/coronavirus/frequently-asked-questions-about-the-employee-retention-credit" TargetMode="External"/><Relationship Id="rId7" Type="http://schemas.openxmlformats.org/officeDocument/2006/relationships/hyperlink" Target="https://www.taxpayeradvocate.irs.gov/get-help/roadmap/" TargetMode="External"/><Relationship Id="rId12" Type="http://schemas.openxmlformats.org/officeDocument/2006/relationships/hyperlink" Target="https://www.taxpayeradvocate.irs.gov/contact-us/subscribe-to-tas/" TargetMode="External"/><Relationship Id="rId17" Type="http://schemas.openxmlformats.org/officeDocument/2006/relationships/hyperlink" Target="https://www.taxpayeradvocate.irs.gov/get-help/credits/" TargetMode="External"/><Relationship Id="rId25" Type="http://schemas.openxmlformats.org/officeDocument/2006/relationships/hyperlink" Target="https://www.irs.gov/coronavirus/frequently-asked-questions-about-the-employee-retention-credit" TargetMode="External"/><Relationship Id="rId33" Type="http://schemas.openxmlformats.org/officeDocument/2006/relationships/hyperlink" Target="https://apps.irs.gov/app/digital-mailroom/notices/" TargetMode="External"/><Relationship Id="rId38" Type="http://schemas.openxmlformats.org/officeDocument/2006/relationships/hyperlink" Target="https://www.irs.gov/instructions/i8821" TargetMode="External"/><Relationship Id="rId46" Type="http://schemas.openxmlformats.org/officeDocument/2006/relationships/hyperlink" Target="http://www.taxpayeradvocate.irs.gov/" TargetMode="External"/><Relationship Id="rId2" Type="http://schemas.openxmlformats.org/officeDocument/2006/relationships/styles" Target="styles.xml"/><Relationship Id="rId16" Type="http://schemas.openxmlformats.org/officeDocument/2006/relationships/hyperlink" Target="https://www.taxpayeradvocate.irs.gov/home/systemic-advocacy-management-system-sams/" TargetMode="External"/><Relationship Id="rId20" Type="http://schemas.openxmlformats.org/officeDocument/2006/relationships/hyperlink" Target="https://www.taxpayeradvocate.irs.gov/wp-content/uploads/2020/08/ARC19_Volume1_TRRS_02_EITCban.pdf" TargetMode="External"/><Relationship Id="rId29" Type="http://schemas.openxmlformats.org/officeDocument/2006/relationships/hyperlink" Target="https://www.irs.gov/newsroom/tax-pros-can-use-their-irs-tax-pro-account-to-simplify-authorization-requests" TargetMode="External"/><Relationship Id="rId41" Type="http://schemas.openxmlformats.org/officeDocument/2006/relationships/hyperlink" Target="https://www.irs.gov/credits-deductions/elective-pay-and-transferability-frequently-asked-questions-elective-p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payeradvocate.irs.gov/taxnews-information/blogs-nta/" TargetMode="External"/><Relationship Id="rId24" Type="http://schemas.openxmlformats.org/officeDocument/2006/relationships/hyperlink" Target="https://www.taxpayeradvocate.irs.gov/news/tas-tax-tip-waiting-on-an-employee-retention-credit-refund/" TargetMode="External"/><Relationship Id="rId32" Type="http://schemas.openxmlformats.org/officeDocument/2006/relationships/hyperlink" Target="https://www.irs.gov/help/irs-document-upload-tool" TargetMode="External"/><Relationship Id="rId37" Type="http://schemas.openxmlformats.org/officeDocument/2006/relationships/hyperlink" Target="https://www.irs.gov/forms-pubs/about-form-2848" TargetMode="External"/><Relationship Id="rId40" Type="http://schemas.openxmlformats.org/officeDocument/2006/relationships/hyperlink" Target="https://www.irs.gov/credits-deductions/elective-pay-and-transferability-frequently-asked-questions-overview" TargetMode="External"/><Relationship Id="rId45" Type="http://schemas.openxmlformats.org/officeDocument/2006/relationships/hyperlink" Target="https://www.irsvideos.gov/Business/Resources/HowDealersandSellersRegisterforEnergyCreditsOnline"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axpayeradvocate.irs.gov/can-tas-help-me-with-my-tax-issue/" TargetMode="External"/><Relationship Id="rId23" Type="http://schemas.openxmlformats.org/officeDocument/2006/relationships/hyperlink" Target="https://www.irs.gov/newsroom/to-protect-taxpayers-from-scams-irs-orders-immediate-stop-to-new-employee-retention-credit-processing-amid-surge-of-questionable-claims-concerns-from-tax-pros" TargetMode="External"/><Relationship Id="rId28" Type="http://schemas.openxmlformats.org/officeDocument/2006/relationships/hyperlink" Target="https://www.irs.gov/tax-professionals" TargetMode="External"/><Relationship Id="rId36" Type="http://schemas.openxmlformats.org/officeDocument/2006/relationships/hyperlink" Target="https://la.www4.irs.gov/secureaccess/ui/?TYPE=33554433&amp;REALMOID=06-00099fc8-741a-12ca-b419-7c2b0ad00000&amp;GUID=&amp;SMAUTHREASON=0&amp;METHOD=GET&amp;SMAGENTNAME=-SM-u0ktItgVFneUJDzkQ7tjvLYXyclDooCJJ7%2bjXGjg3YC5id2x9riHE98hoVgd1BBv&amp;TARGET=-SM-https%3a%2f%2fla%2ewww4%2eirs%2egov%2fesrv%2ftds%2f" TargetMode="External"/><Relationship Id="rId49" Type="http://schemas.openxmlformats.org/officeDocument/2006/relationships/hyperlink" Target="https://www.irs.gov/newsroom/employee-retention-credit-eligibility-checklist-help-understanding-this-complex-credit" TargetMode="External"/><Relationship Id="rId10" Type="http://schemas.openxmlformats.org/officeDocument/2006/relationships/hyperlink" Target="https://www.taxpayeradvocate.irs.gov/taxpayer-resources/tax-tips/" TargetMode="External"/><Relationship Id="rId19" Type="http://schemas.openxmlformats.org/officeDocument/2006/relationships/hyperlink" Target="https://www.taxpayeradvocate.irs.gov/wp-content/uploads/2020/08/2013-ARC_VOL-1_S1-MSP-9.pdf" TargetMode="External"/><Relationship Id="rId31" Type="http://schemas.openxmlformats.org/officeDocument/2006/relationships/hyperlink" Target="https://www.irs.gov/tax-professionals/tax-pro-account" TargetMode="External"/><Relationship Id="rId44" Type="http://schemas.openxmlformats.org/officeDocument/2006/relationships/hyperlink" Target="https://lnks.gd/l/eyJhbGciOiJIUzI1NiJ9.eyJidWxsZXRpbl9saW5rX2lkIjoxMDUsInVyaSI6ImJwMjpjbGljayIsInVybCI6Imh0dHBzOi8vd3d3Lmlycy5nb3YvcHViL2lycy1wZGYvcDU4MTdmLnBkZiIsImJ1bGxldGluX2lkIjoiMjAyMzA2MTQuNzgyNTEyNzEifQ.wPtBUdY2YWfGYumYnSOBUqaphRviDYOzQuqEQlQmbyY/s/1525093504/br/205657704297-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payeradvocate.irs.gov/get-help/" TargetMode="External"/><Relationship Id="rId14" Type="http://schemas.openxmlformats.org/officeDocument/2006/relationships/hyperlink" Target="https://www.taxpayeradvocate.irs.gov/contact-us/upcoming-events/tas-assistance-offered-at-local-problem-solving-days/" TargetMode="External"/><Relationship Id="rId22" Type="http://schemas.openxmlformats.org/officeDocument/2006/relationships/hyperlink" Target="https://www.irs.gov/newsroom/employee-retention-credit-eligibility-checklist-help-understanding-this-complex-credit" TargetMode="External"/><Relationship Id="rId27" Type="http://schemas.openxmlformats.org/officeDocument/2006/relationships/hyperlink" Target="https://www.irs.gov/e-services" TargetMode="External"/><Relationship Id="rId30" Type="http://schemas.openxmlformats.org/officeDocument/2006/relationships/hyperlink" Target="https://www.irs.gov/submit-power-of-attorney-and-tax-information-authorizations" TargetMode="External"/><Relationship Id="rId35" Type="http://schemas.openxmlformats.org/officeDocument/2006/relationships/hyperlink" Target="https://www.irs.gov/tax-professionals/transcript-delivery-system-tds" TargetMode="External"/><Relationship Id="rId43" Type="http://schemas.openxmlformats.org/officeDocument/2006/relationships/hyperlink" Target="https://www.irs.gov/credits-deductions/register-your-dealership-to-enable-credits-for-clean-vehicle-buyers" TargetMode="External"/><Relationship Id="rId48" Type="http://schemas.openxmlformats.org/officeDocument/2006/relationships/hyperlink" Target="https://www.irs.gov/coronavirus/employee-retention-credit" TargetMode="External"/><Relationship Id="rId8" Type="http://schemas.openxmlformats.org/officeDocument/2006/relationships/hyperlink" Target="https://www.taxpayeradvocate.irs.gov/notices-from-the-irs/" TargetMode="External"/><Relationship Id="rId51" Type="http://schemas.openxmlformats.org/officeDocument/2006/relationships/hyperlink" Target="https://www.irs.gov/newsroom/irs-operations-status-of-mission-critical-fu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Janelle R</dc:creator>
  <cp:keywords/>
  <dc:description/>
  <cp:lastModifiedBy>Romaniello Margaret A</cp:lastModifiedBy>
  <cp:revision>2</cp:revision>
  <dcterms:created xsi:type="dcterms:W3CDTF">2023-12-29T15:08:00Z</dcterms:created>
  <dcterms:modified xsi:type="dcterms:W3CDTF">2023-12-29T15:20:00Z</dcterms:modified>
</cp:coreProperties>
</file>